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72"/>
        <w:gridCol w:w="3673"/>
        <w:gridCol w:w="3671"/>
      </w:tblGrid>
      <w:tr w:rsidR="00402676" w:rsidRPr="007F659B">
        <w:tc>
          <w:tcPr>
            <w:tcW w:w="5000" w:type="pct"/>
            <w:gridSpan w:val="3"/>
            <w:tcBorders>
              <w:bottom w:val="nil"/>
            </w:tcBorders>
            <w:shd w:val="clear" w:color="auto" w:fill="000000"/>
          </w:tcPr>
          <w:p w:rsidR="00402676" w:rsidRPr="007F659B" w:rsidRDefault="00402676" w:rsidP="007F659B">
            <w:pPr>
              <w:spacing w:after="0" w:line="240" w:lineRule="auto"/>
              <w:jc w:val="center"/>
              <w:rPr>
                <w:sz w:val="28"/>
                <w:szCs w:val="28"/>
              </w:rPr>
            </w:pPr>
            <w:bookmarkStart w:id="0" w:name="_GoBack"/>
            <w:bookmarkEnd w:id="0"/>
            <w:r w:rsidRPr="007F659B">
              <w:rPr>
                <w:sz w:val="28"/>
                <w:szCs w:val="28"/>
              </w:rPr>
              <w:t>Mathématique, 2</w:t>
            </w:r>
            <w:r w:rsidRPr="007F659B">
              <w:rPr>
                <w:sz w:val="28"/>
                <w:szCs w:val="28"/>
                <w:vertAlign w:val="superscript"/>
              </w:rPr>
              <w:t>e</w:t>
            </w:r>
            <w:r w:rsidRPr="007F659B">
              <w:rPr>
                <w:sz w:val="28"/>
                <w:szCs w:val="28"/>
              </w:rPr>
              <w:t xml:space="preserve">  secondaire, 063206</w:t>
            </w:r>
          </w:p>
          <w:p w:rsidR="00402676" w:rsidRPr="007F659B" w:rsidRDefault="00CB06AD" w:rsidP="009B7AE9">
            <w:pPr>
              <w:spacing w:after="0" w:line="240" w:lineRule="auto"/>
              <w:jc w:val="center"/>
              <w:rPr>
                <w:color w:val="FFFF00"/>
                <w:sz w:val="28"/>
                <w:szCs w:val="28"/>
              </w:rPr>
            </w:pPr>
            <w:r>
              <w:rPr>
                <w:color w:val="FFFF00"/>
                <w:sz w:val="28"/>
                <w:szCs w:val="28"/>
              </w:rPr>
              <w:t>Salima Alalou,</w:t>
            </w:r>
            <w:r w:rsidR="008915BD">
              <w:rPr>
                <w:color w:val="FFFF00"/>
                <w:sz w:val="28"/>
                <w:szCs w:val="28"/>
              </w:rPr>
              <w:t xml:space="preserve"> Fritz Boucher</w:t>
            </w:r>
            <w:r w:rsidR="00E236D2">
              <w:rPr>
                <w:color w:val="FFFF00"/>
                <w:sz w:val="28"/>
                <w:szCs w:val="28"/>
              </w:rPr>
              <w:t xml:space="preserve">, </w:t>
            </w:r>
            <w:r w:rsidR="008915BD" w:rsidRPr="008915BD">
              <w:rPr>
                <w:color w:val="FFFF00"/>
                <w:sz w:val="28"/>
                <w:szCs w:val="28"/>
              </w:rPr>
              <w:t>Olivier Corbeil</w:t>
            </w:r>
            <w:r w:rsidR="008915BD">
              <w:rPr>
                <w:color w:val="FFFF00"/>
                <w:sz w:val="28"/>
                <w:szCs w:val="28"/>
              </w:rPr>
              <w:t xml:space="preserve"> et</w:t>
            </w:r>
            <w:r w:rsidR="008915BD" w:rsidRPr="008915BD">
              <w:rPr>
                <w:color w:val="FFFF00"/>
                <w:sz w:val="28"/>
                <w:szCs w:val="28"/>
              </w:rPr>
              <w:t xml:space="preserve"> </w:t>
            </w:r>
            <w:r w:rsidR="00E236D2">
              <w:rPr>
                <w:color w:val="FFFF00"/>
                <w:sz w:val="28"/>
                <w:szCs w:val="28"/>
              </w:rPr>
              <w:t>Simone G</w:t>
            </w:r>
            <w:r w:rsidR="009B7AE9">
              <w:rPr>
                <w:color w:val="FFFF00"/>
                <w:sz w:val="28"/>
                <w:szCs w:val="28"/>
              </w:rPr>
              <w:t>houb</w:t>
            </w:r>
            <w:r w:rsidR="008915BD">
              <w:rPr>
                <w:color w:val="FFFF00"/>
                <w:sz w:val="28"/>
                <w:szCs w:val="28"/>
              </w:rPr>
              <w:t xml:space="preserve">ril  </w:t>
            </w:r>
          </w:p>
        </w:tc>
      </w:tr>
      <w:tr w:rsidR="00402676" w:rsidRPr="007F659B">
        <w:tc>
          <w:tcPr>
            <w:tcW w:w="5000" w:type="pct"/>
            <w:gridSpan w:val="3"/>
            <w:tcBorders>
              <w:top w:val="nil"/>
              <w:left w:val="nil"/>
              <w:bottom w:val="single" w:sz="4" w:space="0" w:color="auto"/>
              <w:right w:val="nil"/>
            </w:tcBorders>
          </w:tcPr>
          <w:p w:rsidR="00402676" w:rsidRPr="007F659B" w:rsidRDefault="00402676" w:rsidP="00CE6030">
            <w:pPr>
              <w:spacing w:after="0" w:line="240" w:lineRule="auto"/>
              <w:rPr>
                <w:sz w:val="16"/>
                <w:szCs w:val="16"/>
              </w:rPr>
            </w:pPr>
          </w:p>
          <w:p w:rsidR="00402676" w:rsidRPr="007F659B" w:rsidRDefault="00402676" w:rsidP="00CE6030">
            <w:pPr>
              <w:spacing w:after="0" w:line="240" w:lineRule="auto"/>
              <w:rPr>
                <w:sz w:val="24"/>
                <w:szCs w:val="24"/>
              </w:rPr>
            </w:pPr>
          </w:p>
        </w:tc>
      </w:tr>
      <w:tr w:rsidR="00402676" w:rsidRPr="007F659B">
        <w:tc>
          <w:tcPr>
            <w:tcW w:w="5000" w:type="pct"/>
            <w:gridSpan w:val="3"/>
            <w:tcBorders>
              <w:top w:val="single" w:sz="4" w:space="0" w:color="auto"/>
            </w:tcBorders>
            <w:shd w:val="clear" w:color="auto" w:fill="A6A6A6"/>
          </w:tcPr>
          <w:p w:rsidR="00402676" w:rsidRPr="007F659B" w:rsidRDefault="00402676" w:rsidP="00CE6030">
            <w:pPr>
              <w:spacing w:after="0" w:line="240" w:lineRule="auto"/>
              <w:jc w:val="center"/>
              <w:rPr>
                <w:b/>
                <w:bCs/>
                <w:sz w:val="24"/>
                <w:szCs w:val="24"/>
              </w:rPr>
            </w:pPr>
            <w:r w:rsidRPr="007F659B">
              <w:rPr>
                <w:b/>
                <w:bCs/>
                <w:sz w:val="24"/>
                <w:szCs w:val="24"/>
              </w:rPr>
              <w:t>Connaissances abordées durant l’année (maîtrise)</w:t>
            </w:r>
          </w:p>
          <w:p w:rsidR="00402676" w:rsidRPr="007F659B" w:rsidRDefault="00402676" w:rsidP="00CE6030">
            <w:pPr>
              <w:spacing w:after="0" w:line="240" w:lineRule="auto"/>
              <w:jc w:val="center"/>
              <w:rPr>
                <w:sz w:val="20"/>
                <w:szCs w:val="20"/>
              </w:rPr>
            </w:pPr>
            <w:r w:rsidRPr="007F659B">
              <w:rPr>
                <w:sz w:val="20"/>
                <w:szCs w:val="20"/>
              </w:rPr>
              <w:t>Tout au long de l’année, l’élève élargit son champ de connaissances en mathématique.</w:t>
            </w:r>
          </w:p>
        </w:tc>
      </w:tr>
      <w:tr w:rsidR="00402676" w:rsidRPr="007F659B">
        <w:tc>
          <w:tcPr>
            <w:tcW w:w="1667" w:type="pct"/>
          </w:tcPr>
          <w:p w:rsidR="00402676" w:rsidRPr="007F659B" w:rsidRDefault="00402676" w:rsidP="00CE6030">
            <w:pPr>
              <w:spacing w:after="0" w:line="240" w:lineRule="auto"/>
              <w:jc w:val="center"/>
            </w:pPr>
            <w:r w:rsidRPr="007F659B">
              <w:t>Étape 1</w:t>
            </w:r>
          </w:p>
        </w:tc>
        <w:tc>
          <w:tcPr>
            <w:tcW w:w="1667" w:type="pct"/>
          </w:tcPr>
          <w:p w:rsidR="00402676" w:rsidRPr="007F659B" w:rsidRDefault="00402676" w:rsidP="00CE6030">
            <w:pPr>
              <w:spacing w:after="0" w:line="240" w:lineRule="auto"/>
              <w:jc w:val="center"/>
            </w:pPr>
            <w:r w:rsidRPr="007F659B">
              <w:t>Étape 2</w:t>
            </w:r>
          </w:p>
        </w:tc>
        <w:tc>
          <w:tcPr>
            <w:tcW w:w="1667" w:type="pct"/>
          </w:tcPr>
          <w:p w:rsidR="00402676" w:rsidRPr="007F659B" w:rsidRDefault="00402676" w:rsidP="00CE6030">
            <w:pPr>
              <w:spacing w:after="0" w:line="240" w:lineRule="auto"/>
              <w:jc w:val="center"/>
            </w:pPr>
            <w:r w:rsidRPr="007F659B">
              <w:t>Étape 3</w:t>
            </w:r>
          </w:p>
        </w:tc>
      </w:tr>
      <w:tr w:rsidR="00402676" w:rsidRPr="007F659B">
        <w:tc>
          <w:tcPr>
            <w:tcW w:w="1667" w:type="pct"/>
          </w:tcPr>
          <w:p w:rsidR="00402676" w:rsidRPr="007F659B" w:rsidRDefault="00402676" w:rsidP="00CE6030">
            <w:pPr>
              <w:spacing w:after="0" w:line="240" w:lineRule="auto"/>
              <w:rPr>
                <w:b/>
                <w:bCs/>
                <w:sz w:val="18"/>
                <w:szCs w:val="18"/>
              </w:rPr>
            </w:pPr>
          </w:p>
          <w:p w:rsidR="003A7C2C" w:rsidRPr="00FC1F64" w:rsidRDefault="00AF1B45" w:rsidP="004908B8">
            <w:pPr>
              <w:pStyle w:val="Paragraphedeliste"/>
              <w:spacing w:after="0" w:line="240" w:lineRule="auto"/>
              <w:ind w:left="0"/>
              <w:rPr>
                <w:b/>
                <w:sz w:val="18"/>
                <w:szCs w:val="18"/>
              </w:rPr>
            </w:pPr>
            <w:r w:rsidRPr="00FC1F64">
              <w:rPr>
                <w:b/>
                <w:sz w:val="18"/>
                <w:szCs w:val="18"/>
              </w:rPr>
              <w:t xml:space="preserve">Les expressions </w:t>
            </w:r>
            <w:r w:rsidR="003A7C2C" w:rsidRPr="00FC1F64">
              <w:rPr>
                <w:b/>
                <w:sz w:val="18"/>
                <w:szCs w:val="18"/>
              </w:rPr>
              <w:t>algébriques</w:t>
            </w:r>
          </w:p>
          <w:p w:rsidR="003A7C2C" w:rsidRDefault="003A7C2C" w:rsidP="004908B8">
            <w:pPr>
              <w:pStyle w:val="Paragraphedeliste"/>
              <w:spacing w:after="0" w:line="240" w:lineRule="auto"/>
              <w:ind w:left="0"/>
              <w:rPr>
                <w:sz w:val="18"/>
                <w:szCs w:val="18"/>
              </w:rPr>
            </w:pPr>
            <w:r>
              <w:rPr>
                <w:sz w:val="18"/>
                <w:szCs w:val="18"/>
              </w:rPr>
              <w:t>-Les variables et les expressions algébriques.</w:t>
            </w:r>
          </w:p>
          <w:p w:rsidR="003A7C2C" w:rsidRDefault="003A7C2C" w:rsidP="004908B8">
            <w:pPr>
              <w:pStyle w:val="Paragraphedeliste"/>
              <w:spacing w:after="0" w:line="240" w:lineRule="auto"/>
              <w:ind w:left="0"/>
              <w:rPr>
                <w:sz w:val="18"/>
                <w:szCs w:val="18"/>
              </w:rPr>
            </w:pPr>
            <w:r>
              <w:rPr>
                <w:sz w:val="18"/>
                <w:szCs w:val="18"/>
              </w:rPr>
              <w:t>-L’addition et la soustraction d’expressions algébriques.</w:t>
            </w:r>
          </w:p>
          <w:p w:rsidR="003A7C2C" w:rsidRDefault="003A7C2C" w:rsidP="004908B8">
            <w:pPr>
              <w:pStyle w:val="Paragraphedeliste"/>
              <w:spacing w:after="0" w:line="240" w:lineRule="auto"/>
              <w:ind w:left="0"/>
              <w:rPr>
                <w:sz w:val="18"/>
                <w:szCs w:val="18"/>
              </w:rPr>
            </w:pPr>
            <w:r>
              <w:rPr>
                <w:sz w:val="18"/>
                <w:szCs w:val="18"/>
              </w:rPr>
              <w:t>-La multiplication et la division d’expressions algébriques.</w:t>
            </w:r>
          </w:p>
          <w:p w:rsidR="003A7C2C" w:rsidRDefault="003A7C2C" w:rsidP="004908B8">
            <w:pPr>
              <w:pStyle w:val="Paragraphedeliste"/>
              <w:spacing w:after="0" w:line="240" w:lineRule="auto"/>
              <w:ind w:left="0"/>
              <w:rPr>
                <w:sz w:val="18"/>
                <w:szCs w:val="18"/>
              </w:rPr>
            </w:pPr>
            <w:r>
              <w:rPr>
                <w:sz w:val="18"/>
                <w:szCs w:val="18"/>
              </w:rPr>
              <w:t>-la valeur d’une expression algébrique.</w:t>
            </w:r>
          </w:p>
          <w:p w:rsidR="003A7C2C" w:rsidRDefault="003A7C2C" w:rsidP="004908B8">
            <w:pPr>
              <w:pStyle w:val="Paragraphedeliste"/>
              <w:spacing w:after="0" w:line="240" w:lineRule="auto"/>
              <w:ind w:left="0"/>
              <w:rPr>
                <w:sz w:val="18"/>
                <w:szCs w:val="18"/>
              </w:rPr>
            </w:pPr>
          </w:p>
          <w:p w:rsidR="003A7C2C" w:rsidRPr="00FC1F64" w:rsidRDefault="00FC1F64" w:rsidP="004908B8">
            <w:pPr>
              <w:pStyle w:val="Paragraphedeliste"/>
              <w:spacing w:after="0" w:line="240" w:lineRule="auto"/>
              <w:ind w:left="0"/>
              <w:rPr>
                <w:b/>
                <w:sz w:val="18"/>
                <w:szCs w:val="18"/>
              </w:rPr>
            </w:pPr>
            <w:r w:rsidRPr="00FC1F64">
              <w:rPr>
                <w:b/>
                <w:sz w:val="18"/>
                <w:szCs w:val="18"/>
              </w:rPr>
              <w:t>Les rapports et les proportions</w:t>
            </w:r>
          </w:p>
          <w:p w:rsidR="003A7C2C" w:rsidRDefault="003A7C2C" w:rsidP="004908B8">
            <w:pPr>
              <w:pStyle w:val="Paragraphedeliste"/>
              <w:spacing w:after="0" w:line="240" w:lineRule="auto"/>
              <w:ind w:left="0"/>
              <w:rPr>
                <w:sz w:val="18"/>
                <w:szCs w:val="18"/>
              </w:rPr>
            </w:pPr>
            <w:r>
              <w:rPr>
                <w:sz w:val="18"/>
                <w:szCs w:val="18"/>
              </w:rPr>
              <w:t>-Les divers modes de représentation.</w:t>
            </w:r>
          </w:p>
          <w:p w:rsidR="003A7C2C" w:rsidRDefault="003A7C2C" w:rsidP="004908B8">
            <w:pPr>
              <w:pStyle w:val="Paragraphedeliste"/>
              <w:spacing w:after="0" w:line="240" w:lineRule="auto"/>
              <w:ind w:left="0"/>
              <w:rPr>
                <w:sz w:val="18"/>
                <w:szCs w:val="18"/>
              </w:rPr>
            </w:pPr>
            <w:r>
              <w:rPr>
                <w:sz w:val="18"/>
                <w:szCs w:val="18"/>
              </w:rPr>
              <w:t>-Les rapports,  les taux et les proportions.</w:t>
            </w:r>
          </w:p>
          <w:p w:rsidR="003A7C2C" w:rsidRDefault="003A7C2C" w:rsidP="004908B8">
            <w:pPr>
              <w:pStyle w:val="Paragraphedeliste"/>
              <w:spacing w:after="0" w:line="240" w:lineRule="auto"/>
              <w:ind w:left="0"/>
              <w:rPr>
                <w:sz w:val="18"/>
                <w:szCs w:val="18"/>
              </w:rPr>
            </w:pPr>
            <w:r>
              <w:rPr>
                <w:sz w:val="18"/>
                <w:szCs w:val="18"/>
              </w:rPr>
              <w:t>-Les situations de proportionnalité et les situations inversement proportionnelles.</w:t>
            </w:r>
          </w:p>
          <w:p w:rsidR="003A7C2C" w:rsidRDefault="003A7C2C" w:rsidP="004908B8">
            <w:pPr>
              <w:pStyle w:val="Paragraphedeliste"/>
              <w:spacing w:after="0" w:line="240" w:lineRule="auto"/>
              <w:ind w:left="0"/>
              <w:rPr>
                <w:sz w:val="18"/>
                <w:szCs w:val="18"/>
              </w:rPr>
            </w:pPr>
            <w:r>
              <w:rPr>
                <w:sz w:val="18"/>
                <w:szCs w:val="18"/>
              </w:rPr>
              <w:t>- Les pourcentages.</w:t>
            </w:r>
          </w:p>
          <w:p w:rsidR="003A7C2C" w:rsidRPr="007F659B" w:rsidRDefault="003A7C2C" w:rsidP="004908B8">
            <w:pPr>
              <w:pStyle w:val="Paragraphedeliste"/>
              <w:spacing w:after="0" w:line="240" w:lineRule="auto"/>
              <w:ind w:left="0"/>
              <w:rPr>
                <w:sz w:val="18"/>
                <w:szCs w:val="18"/>
              </w:rPr>
            </w:pPr>
          </w:p>
          <w:p w:rsidR="00402676" w:rsidRPr="007F659B" w:rsidRDefault="00402676" w:rsidP="00D90AD1">
            <w:pPr>
              <w:pStyle w:val="Paragraphedeliste"/>
              <w:spacing w:after="0" w:line="240" w:lineRule="auto"/>
              <w:ind w:left="0"/>
              <w:rPr>
                <w:sz w:val="18"/>
                <w:szCs w:val="18"/>
              </w:rPr>
            </w:pPr>
          </w:p>
        </w:tc>
        <w:tc>
          <w:tcPr>
            <w:tcW w:w="1667" w:type="pct"/>
          </w:tcPr>
          <w:p w:rsidR="00402676" w:rsidRPr="007F659B" w:rsidRDefault="00402676" w:rsidP="00CE6030">
            <w:pPr>
              <w:spacing w:after="0" w:line="240" w:lineRule="auto"/>
              <w:rPr>
                <w:sz w:val="18"/>
                <w:szCs w:val="18"/>
              </w:rPr>
            </w:pPr>
          </w:p>
          <w:p w:rsidR="00C90691" w:rsidRPr="00FC1F64" w:rsidRDefault="00FC1F64" w:rsidP="00CE6030">
            <w:pPr>
              <w:spacing w:after="0" w:line="240" w:lineRule="auto"/>
              <w:rPr>
                <w:b/>
                <w:sz w:val="18"/>
                <w:szCs w:val="18"/>
              </w:rPr>
            </w:pPr>
            <w:r w:rsidRPr="00FC1F64">
              <w:rPr>
                <w:b/>
                <w:sz w:val="18"/>
                <w:szCs w:val="18"/>
              </w:rPr>
              <w:t>Les Équations</w:t>
            </w:r>
          </w:p>
          <w:p w:rsidR="00C90691" w:rsidRDefault="00C90691" w:rsidP="00CE6030">
            <w:pPr>
              <w:spacing w:after="0" w:line="240" w:lineRule="auto"/>
              <w:rPr>
                <w:sz w:val="18"/>
                <w:szCs w:val="18"/>
              </w:rPr>
            </w:pPr>
            <w:r>
              <w:rPr>
                <w:sz w:val="18"/>
                <w:szCs w:val="18"/>
              </w:rPr>
              <w:t>-La construction d’une équation du premier degré à une variable.</w:t>
            </w:r>
          </w:p>
          <w:p w:rsidR="00C90691" w:rsidRDefault="00C90691" w:rsidP="00CE6030">
            <w:pPr>
              <w:spacing w:after="0" w:line="240" w:lineRule="auto"/>
              <w:rPr>
                <w:sz w:val="18"/>
                <w:szCs w:val="18"/>
              </w:rPr>
            </w:pPr>
            <w:r>
              <w:rPr>
                <w:sz w:val="18"/>
                <w:szCs w:val="18"/>
              </w:rPr>
              <w:t>-Les équations équivalentes.</w:t>
            </w:r>
          </w:p>
          <w:p w:rsidR="00C90691" w:rsidRDefault="00C90691" w:rsidP="00CE6030">
            <w:pPr>
              <w:spacing w:after="0" w:line="240" w:lineRule="auto"/>
              <w:rPr>
                <w:sz w:val="18"/>
                <w:szCs w:val="18"/>
              </w:rPr>
            </w:pPr>
            <w:r>
              <w:rPr>
                <w:sz w:val="18"/>
                <w:szCs w:val="18"/>
              </w:rPr>
              <w:t>-la résolution d’une équation du premier degré à une variable et la validation.</w:t>
            </w:r>
          </w:p>
          <w:p w:rsidR="00C90691" w:rsidRDefault="00C90691" w:rsidP="00CE6030">
            <w:pPr>
              <w:spacing w:after="0" w:line="240" w:lineRule="auto"/>
              <w:rPr>
                <w:sz w:val="18"/>
                <w:szCs w:val="18"/>
              </w:rPr>
            </w:pPr>
          </w:p>
          <w:p w:rsidR="00C90691" w:rsidRPr="00FC1F64" w:rsidRDefault="00FC1F64" w:rsidP="00C90691">
            <w:pPr>
              <w:spacing w:after="0" w:line="240" w:lineRule="auto"/>
              <w:rPr>
                <w:b/>
                <w:sz w:val="18"/>
                <w:szCs w:val="18"/>
              </w:rPr>
            </w:pPr>
            <w:r w:rsidRPr="00FC1F64">
              <w:rPr>
                <w:b/>
                <w:sz w:val="18"/>
                <w:szCs w:val="18"/>
              </w:rPr>
              <w:t>L’aire et les figures</w:t>
            </w:r>
          </w:p>
          <w:p w:rsidR="00C90691" w:rsidRDefault="00C90691" w:rsidP="00C90691">
            <w:pPr>
              <w:spacing w:after="0" w:line="240" w:lineRule="auto"/>
              <w:rPr>
                <w:sz w:val="18"/>
                <w:szCs w:val="18"/>
              </w:rPr>
            </w:pPr>
            <w:r>
              <w:rPr>
                <w:sz w:val="18"/>
                <w:szCs w:val="18"/>
              </w:rPr>
              <w:t>-Le système international d’unités</w:t>
            </w:r>
          </w:p>
          <w:p w:rsidR="00C90691" w:rsidRDefault="00C90691" w:rsidP="00C90691">
            <w:pPr>
              <w:spacing w:after="0" w:line="240" w:lineRule="auto"/>
              <w:rPr>
                <w:sz w:val="18"/>
                <w:szCs w:val="18"/>
              </w:rPr>
            </w:pPr>
            <w:r>
              <w:rPr>
                <w:sz w:val="18"/>
                <w:szCs w:val="18"/>
              </w:rPr>
              <w:t>-l’aire d’un triangle, un rectangle, d’un parallélogramme, d’un trapèze et d’un losange.</w:t>
            </w:r>
          </w:p>
          <w:p w:rsidR="00C90691" w:rsidRDefault="00C90691" w:rsidP="00C90691">
            <w:pPr>
              <w:spacing w:after="0" w:line="240" w:lineRule="auto"/>
              <w:rPr>
                <w:sz w:val="18"/>
                <w:szCs w:val="18"/>
              </w:rPr>
            </w:pPr>
            <w:r>
              <w:rPr>
                <w:sz w:val="18"/>
                <w:szCs w:val="18"/>
              </w:rPr>
              <w:t>-Le carré et la racine carré</w:t>
            </w:r>
            <w:r w:rsidR="00095CF6">
              <w:rPr>
                <w:sz w:val="18"/>
                <w:szCs w:val="18"/>
              </w:rPr>
              <w:t>e d’un nombre.</w:t>
            </w:r>
          </w:p>
          <w:p w:rsidR="00095CF6" w:rsidRDefault="00095CF6" w:rsidP="00C90691">
            <w:pPr>
              <w:spacing w:after="0" w:line="240" w:lineRule="auto"/>
              <w:rPr>
                <w:sz w:val="18"/>
                <w:szCs w:val="18"/>
              </w:rPr>
            </w:pPr>
            <w:r>
              <w:rPr>
                <w:sz w:val="18"/>
                <w:szCs w:val="18"/>
              </w:rPr>
              <w:t>-L’aire des polygones réguliers et des polygones décomposables.</w:t>
            </w:r>
          </w:p>
          <w:p w:rsidR="00402676" w:rsidRPr="007F659B" w:rsidRDefault="00402676" w:rsidP="00CE6030">
            <w:pPr>
              <w:spacing w:after="0" w:line="240" w:lineRule="auto"/>
              <w:rPr>
                <w:sz w:val="18"/>
                <w:szCs w:val="18"/>
              </w:rPr>
            </w:pPr>
            <w:r w:rsidRPr="007F659B">
              <w:rPr>
                <w:sz w:val="18"/>
                <w:szCs w:val="18"/>
              </w:rPr>
              <w:t xml:space="preserve">                                         </w:t>
            </w:r>
          </w:p>
          <w:p w:rsidR="00402676" w:rsidRPr="007F659B" w:rsidRDefault="00402676" w:rsidP="00CE6030">
            <w:pPr>
              <w:spacing w:after="0" w:line="240" w:lineRule="auto"/>
              <w:rPr>
                <w:sz w:val="18"/>
                <w:szCs w:val="18"/>
              </w:rPr>
            </w:pPr>
            <w:r w:rsidRPr="007F659B">
              <w:rPr>
                <w:sz w:val="18"/>
                <w:szCs w:val="18"/>
              </w:rPr>
              <w:t xml:space="preserve">                             </w:t>
            </w:r>
          </w:p>
        </w:tc>
        <w:tc>
          <w:tcPr>
            <w:tcW w:w="1667" w:type="pct"/>
          </w:tcPr>
          <w:p w:rsidR="00402676" w:rsidRPr="00FC1F64" w:rsidRDefault="00402676" w:rsidP="00CE6030">
            <w:pPr>
              <w:spacing w:after="0" w:line="240" w:lineRule="auto"/>
              <w:rPr>
                <w:bCs/>
                <w:sz w:val="18"/>
                <w:szCs w:val="18"/>
              </w:rPr>
            </w:pPr>
          </w:p>
          <w:p w:rsidR="00095CF6" w:rsidRPr="00FC1F64" w:rsidRDefault="00FC1F64" w:rsidP="00CE6030">
            <w:pPr>
              <w:spacing w:after="0" w:line="240" w:lineRule="auto"/>
              <w:rPr>
                <w:b/>
                <w:bCs/>
                <w:sz w:val="18"/>
                <w:szCs w:val="18"/>
              </w:rPr>
            </w:pPr>
            <w:r w:rsidRPr="00FC1F64">
              <w:rPr>
                <w:b/>
                <w:bCs/>
                <w:sz w:val="18"/>
                <w:szCs w:val="18"/>
              </w:rPr>
              <w:t>Le cercle</w:t>
            </w:r>
          </w:p>
          <w:p w:rsidR="00095CF6" w:rsidRPr="00FC1F64" w:rsidRDefault="00095CF6" w:rsidP="00CE6030">
            <w:pPr>
              <w:spacing w:after="0" w:line="240" w:lineRule="auto"/>
              <w:rPr>
                <w:bCs/>
                <w:sz w:val="18"/>
                <w:szCs w:val="18"/>
              </w:rPr>
            </w:pPr>
            <w:r w:rsidRPr="00FC1F64">
              <w:rPr>
                <w:bCs/>
                <w:sz w:val="18"/>
                <w:szCs w:val="18"/>
              </w:rPr>
              <w:t>-circonférence du cercle.</w:t>
            </w:r>
          </w:p>
          <w:p w:rsidR="00095CF6" w:rsidRPr="00FC1F64" w:rsidRDefault="00095CF6" w:rsidP="00CE6030">
            <w:pPr>
              <w:spacing w:after="0" w:line="240" w:lineRule="auto"/>
              <w:rPr>
                <w:bCs/>
                <w:sz w:val="18"/>
                <w:szCs w:val="18"/>
              </w:rPr>
            </w:pPr>
            <w:r w:rsidRPr="00FC1F64">
              <w:rPr>
                <w:bCs/>
                <w:sz w:val="18"/>
                <w:szCs w:val="18"/>
              </w:rPr>
              <w:t>-l’aire du disque.</w:t>
            </w:r>
          </w:p>
          <w:p w:rsidR="00095CF6" w:rsidRPr="00FC1F64" w:rsidRDefault="00095CF6" w:rsidP="00CE6030">
            <w:pPr>
              <w:spacing w:after="0" w:line="240" w:lineRule="auto"/>
              <w:rPr>
                <w:bCs/>
                <w:sz w:val="18"/>
                <w:szCs w:val="18"/>
              </w:rPr>
            </w:pPr>
            <w:r w:rsidRPr="00FC1F64">
              <w:rPr>
                <w:bCs/>
                <w:sz w:val="18"/>
                <w:szCs w:val="18"/>
              </w:rPr>
              <w:t>-L’angle au centre, l’arc de cercle et le secteur circulaire.</w:t>
            </w:r>
          </w:p>
          <w:p w:rsidR="00095CF6" w:rsidRPr="00FC1F64" w:rsidRDefault="00095CF6" w:rsidP="00CE6030">
            <w:pPr>
              <w:spacing w:after="0" w:line="240" w:lineRule="auto"/>
              <w:rPr>
                <w:bCs/>
                <w:sz w:val="18"/>
                <w:szCs w:val="18"/>
              </w:rPr>
            </w:pPr>
          </w:p>
          <w:p w:rsidR="00095CF6" w:rsidRPr="00FC1F64" w:rsidRDefault="00FC1F64" w:rsidP="00095CF6">
            <w:pPr>
              <w:spacing w:after="0" w:line="240" w:lineRule="auto"/>
              <w:rPr>
                <w:b/>
                <w:bCs/>
                <w:sz w:val="18"/>
                <w:szCs w:val="18"/>
              </w:rPr>
            </w:pPr>
            <w:r w:rsidRPr="00FC1F64">
              <w:rPr>
                <w:b/>
                <w:bCs/>
                <w:sz w:val="18"/>
                <w:szCs w:val="18"/>
              </w:rPr>
              <w:t>Les solides</w:t>
            </w:r>
          </w:p>
          <w:p w:rsidR="00095CF6" w:rsidRDefault="00FC1F64" w:rsidP="00095CF6">
            <w:pPr>
              <w:spacing w:after="0" w:line="240" w:lineRule="auto"/>
              <w:rPr>
                <w:bCs/>
                <w:sz w:val="18"/>
                <w:szCs w:val="18"/>
              </w:rPr>
            </w:pPr>
            <w:r>
              <w:rPr>
                <w:bCs/>
                <w:sz w:val="18"/>
                <w:szCs w:val="18"/>
              </w:rPr>
              <w:t>-</w:t>
            </w:r>
            <w:r w:rsidR="00095CF6" w:rsidRPr="00FC1F64">
              <w:rPr>
                <w:bCs/>
                <w:sz w:val="18"/>
                <w:szCs w:val="18"/>
              </w:rPr>
              <w:t>Les polyèdres et les corps ronds.</w:t>
            </w:r>
          </w:p>
          <w:p w:rsidR="00FC1F64" w:rsidRDefault="00FC1F64" w:rsidP="00095CF6">
            <w:pPr>
              <w:spacing w:after="0" w:line="240" w:lineRule="auto"/>
              <w:rPr>
                <w:bCs/>
                <w:sz w:val="18"/>
                <w:szCs w:val="18"/>
              </w:rPr>
            </w:pPr>
            <w:r>
              <w:rPr>
                <w:bCs/>
                <w:sz w:val="18"/>
                <w:szCs w:val="18"/>
              </w:rPr>
              <w:t>-L’aire d’un prisme, d’une pyramide et d’un cylindre.</w:t>
            </w:r>
          </w:p>
          <w:p w:rsidR="00FC1F64" w:rsidRDefault="00FC1F64" w:rsidP="00095CF6">
            <w:pPr>
              <w:spacing w:after="0" w:line="240" w:lineRule="auto"/>
              <w:rPr>
                <w:bCs/>
                <w:sz w:val="18"/>
                <w:szCs w:val="18"/>
              </w:rPr>
            </w:pPr>
          </w:p>
          <w:p w:rsidR="00FC1F64" w:rsidRPr="00FC1F64" w:rsidRDefault="00FC1F64" w:rsidP="00095CF6">
            <w:pPr>
              <w:spacing w:after="0" w:line="240" w:lineRule="auto"/>
              <w:rPr>
                <w:b/>
                <w:bCs/>
                <w:sz w:val="18"/>
                <w:szCs w:val="18"/>
              </w:rPr>
            </w:pPr>
            <w:r w:rsidRPr="00FC1F64">
              <w:rPr>
                <w:b/>
                <w:bCs/>
                <w:sz w:val="18"/>
                <w:szCs w:val="18"/>
              </w:rPr>
              <w:t>La similitude</w:t>
            </w:r>
          </w:p>
          <w:p w:rsidR="00FC1F64" w:rsidRDefault="00FC1F64" w:rsidP="00095CF6">
            <w:pPr>
              <w:spacing w:after="0" w:line="240" w:lineRule="auto"/>
              <w:rPr>
                <w:bCs/>
                <w:sz w:val="18"/>
                <w:szCs w:val="18"/>
              </w:rPr>
            </w:pPr>
            <w:r>
              <w:rPr>
                <w:bCs/>
                <w:sz w:val="18"/>
                <w:szCs w:val="18"/>
              </w:rPr>
              <w:t>-Les figures semblables.</w:t>
            </w:r>
          </w:p>
          <w:p w:rsidR="00FC1F64" w:rsidRPr="00FC1F64" w:rsidRDefault="00FC1F64" w:rsidP="00095CF6">
            <w:pPr>
              <w:spacing w:after="0" w:line="240" w:lineRule="auto"/>
              <w:rPr>
                <w:bCs/>
                <w:sz w:val="18"/>
                <w:szCs w:val="18"/>
              </w:rPr>
            </w:pPr>
            <w:r>
              <w:rPr>
                <w:bCs/>
                <w:sz w:val="18"/>
                <w:szCs w:val="18"/>
              </w:rPr>
              <w:t>-L’homothétie</w:t>
            </w:r>
          </w:p>
          <w:p w:rsidR="00FC1F64" w:rsidRDefault="000B34A8" w:rsidP="00095CF6">
            <w:pPr>
              <w:spacing w:after="0" w:line="240" w:lineRule="auto"/>
              <w:rPr>
                <w:bCs/>
                <w:sz w:val="18"/>
                <w:szCs w:val="18"/>
              </w:rPr>
            </w:pPr>
            <w:r>
              <w:rPr>
                <w:bCs/>
                <w:sz w:val="18"/>
                <w:szCs w:val="18"/>
              </w:rPr>
              <w:t>-Le rapport de similitude et d’aire</w:t>
            </w:r>
          </w:p>
          <w:p w:rsidR="00FC1F64" w:rsidRPr="00FC1F64" w:rsidRDefault="00FC1F64" w:rsidP="00095CF6">
            <w:pPr>
              <w:spacing w:after="0" w:line="240" w:lineRule="auto"/>
              <w:rPr>
                <w:b/>
                <w:bCs/>
                <w:sz w:val="18"/>
                <w:szCs w:val="18"/>
              </w:rPr>
            </w:pPr>
            <w:r w:rsidRPr="00FC1F64">
              <w:rPr>
                <w:b/>
                <w:bCs/>
                <w:sz w:val="18"/>
                <w:szCs w:val="18"/>
              </w:rPr>
              <w:t>La statistique et la probabilité</w:t>
            </w:r>
          </w:p>
          <w:p w:rsidR="00402676" w:rsidRPr="00FC1F64" w:rsidRDefault="00402676" w:rsidP="00CE6030">
            <w:pPr>
              <w:spacing w:after="0" w:line="240" w:lineRule="auto"/>
              <w:rPr>
                <w:bCs/>
                <w:sz w:val="18"/>
                <w:szCs w:val="18"/>
              </w:rPr>
            </w:pPr>
          </w:p>
        </w:tc>
      </w:tr>
    </w:tbl>
    <w:p w:rsidR="00402676" w:rsidRPr="007F659B" w:rsidRDefault="00402676" w:rsidP="00457882">
      <w:pPr>
        <w:rPr>
          <w:sz w:val="18"/>
          <w:szCs w:val="18"/>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7"/>
        <w:gridCol w:w="5449"/>
      </w:tblGrid>
      <w:tr w:rsidR="00402676" w:rsidRPr="007F659B">
        <w:tc>
          <w:tcPr>
            <w:tcW w:w="2527" w:type="pct"/>
            <w:tcBorders>
              <w:right w:val="single" w:sz="24" w:space="0" w:color="auto"/>
            </w:tcBorders>
            <w:shd w:val="clear" w:color="auto" w:fill="BFBFBF"/>
          </w:tcPr>
          <w:p w:rsidR="00402676" w:rsidRPr="007F659B" w:rsidRDefault="00402676" w:rsidP="00CE6030">
            <w:pPr>
              <w:spacing w:after="0" w:line="240" w:lineRule="auto"/>
              <w:jc w:val="center"/>
              <w:rPr>
                <w:b/>
                <w:bCs/>
                <w:sz w:val="24"/>
                <w:szCs w:val="24"/>
              </w:rPr>
            </w:pPr>
            <w:r w:rsidRPr="007F659B">
              <w:rPr>
                <w:b/>
                <w:bCs/>
                <w:sz w:val="24"/>
                <w:szCs w:val="24"/>
              </w:rPr>
              <w:t xml:space="preserve">Matériel pédagogique </w:t>
            </w:r>
          </w:p>
          <w:p w:rsidR="00402676" w:rsidRPr="007F659B" w:rsidRDefault="00402676" w:rsidP="00CE6030">
            <w:pPr>
              <w:spacing w:after="0" w:line="240" w:lineRule="auto"/>
              <w:jc w:val="center"/>
              <w:rPr>
                <w:sz w:val="24"/>
                <w:szCs w:val="24"/>
              </w:rPr>
            </w:pPr>
            <w:r w:rsidRPr="007F659B">
              <w:rPr>
                <w:b/>
                <w:bCs/>
                <w:sz w:val="24"/>
                <w:szCs w:val="24"/>
              </w:rPr>
              <w:t>(volumes, notes, cahiers d’exercices, etc.)</w:t>
            </w:r>
          </w:p>
        </w:tc>
        <w:tc>
          <w:tcPr>
            <w:tcW w:w="2473" w:type="pct"/>
            <w:tcBorders>
              <w:left w:val="single" w:sz="24" w:space="0" w:color="auto"/>
            </w:tcBorders>
            <w:shd w:val="clear" w:color="auto" w:fill="BFBFBF"/>
          </w:tcPr>
          <w:p w:rsidR="00402676" w:rsidRPr="007F659B" w:rsidRDefault="00402676" w:rsidP="00CE6030">
            <w:pPr>
              <w:spacing w:after="0" w:line="240" w:lineRule="auto"/>
              <w:jc w:val="center"/>
              <w:rPr>
                <w:b/>
                <w:bCs/>
                <w:sz w:val="24"/>
                <w:szCs w:val="24"/>
              </w:rPr>
            </w:pPr>
            <w:r w:rsidRPr="007F659B">
              <w:rPr>
                <w:b/>
                <w:bCs/>
                <w:sz w:val="24"/>
                <w:szCs w:val="24"/>
              </w:rPr>
              <w:t xml:space="preserve">Organisation, approches pédagogiques et </w:t>
            </w:r>
          </w:p>
          <w:p w:rsidR="00402676" w:rsidRPr="007F659B" w:rsidRDefault="00402676" w:rsidP="00CE6030">
            <w:pPr>
              <w:spacing w:after="0" w:line="240" w:lineRule="auto"/>
              <w:jc w:val="center"/>
              <w:rPr>
                <w:sz w:val="24"/>
                <w:szCs w:val="24"/>
              </w:rPr>
            </w:pPr>
            <w:r w:rsidRPr="007F659B">
              <w:rPr>
                <w:b/>
                <w:bCs/>
                <w:sz w:val="24"/>
                <w:szCs w:val="24"/>
              </w:rPr>
              <w:t>exigences particulières</w:t>
            </w:r>
          </w:p>
        </w:tc>
      </w:tr>
      <w:tr w:rsidR="00402676" w:rsidRPr="00BA6EF6">
        <w:tc>
          <w:tcPr>
            <w:tcW w:w="2527" w:type="pct"/>
            <w:tcBorders>
              <w:right w:val="single" w:sz="24" w:space="0" w:color="auto"/>
            </w:tcBorders>
          </w:tcPr>
          <w:p w:rsidR="00402676" w:rsidRPr="007F659B" w:rsidRDefault="00402676" w:rsidP="00CE6030">
            <w:pPr>
              <w:spacing w:after="0" w:line="240" w:lineRule="auto"/>
              <w:rPr>
                <w:sz w:val="18"/>
                <w:szCs w:val="18"/>
              </w:rPr>
            </w:pPr>
          </w:p>
          <w:p w:rsidR="00402676" w:rsidRPr="007F659B" w:rsidRDefault="00402676" w:rsidP="00CE6030">
            <w:pPr>
              <w:spacing w:after="0" w:line="240" w:lineRule="auto"/>
              <w:rPr>
                <w:sz w:val="18"/>
                <w:szCs w:val="18"/>
              </w:rPr>
            </w:pPr>
            <w:r w:rsidRPr="007F659B">
              <w:rPr>
                <w:sz w:val="18"/>
                <w:szCs w:val="18"/>
              </w:rPr>
              <w:t>Manuel de base : Panoramath volume B 1et 2</w:t>
            </w:r>
            <w:r w:rsidR="0076100C">
              <w:rPr>
                <w:sz w:val="18"/>
                <w:szCs w:val="18"/>
              </w:rPr>
              <w:t xml:space="preserve"> à consulter à la bibliothèque</w:t>
            </w:r>
            <w:r w:rsidR="00AF1B45">
              <w:rPr>
                <w:sz w:val="18"/>
                <w:szCs w:val="18"/>
              </w:rPr>
              <w:t>.</w:t>
            </w:r>
          </w:p>
          <w:p w:rsidR="00402676" w:rsidRPr="007F659B" w:rsidRDefault="00402676" w:rsidP="00CE6030">
            <w:pPr>
              <w:spacing w:after="0" w:line="240" w:lineRule="auto"/>
              <w:rPr>
                <w:sz w:val="18"/>
                <w:szCs w:val="18"/>
              </w:rPr>
            </w:pPr>
          </w:p>
          <w:p w:rsidR="00402676" w:rsidRPr="007F659B" w:rsidRDefault="00402676" w:rsidP="00CE6030">
            <w:pPr>
              <w:spacing w:after="0" w:line="240" w:lineRule="auto"/>
              <w:rPr>
                <w:sz w:val="18"/>
                <w:szCs w:val="18"/>
              </w:rPr>
            </w:pPr>
            <w:r w:rsidRPr="007F659B">
              <w:rPr>
                <w:sz w:val="18"/>
                <w:szCs w:val="18"/>
              </w:rPr>
              <w:t>Ca</w:t>
            </w:r>
            <w:r w:rsidR="00AF1B45">
              <w:rPr>
                <w:sz w:val="18"/>
                <w:szCs w:val="18"/>
              </w:rPr>
              <w:t>hiers d’exercices : Point de mire</w:t>
            </w:r>
            <w:r w:rsidRPr="007F659B">
              <w:rPr>
                <w:sz w:val="18"/>
                <w:szCs w:val="18"/>
              </w:rPr>
              <w:t>, édition CEC</w:t>
            </w:r>
          </w:p>
          <w:p w:rsidR="00402676" w:rsidRPr="007F659B" w:rsidRDefault="00402676" w:rsidP="00CE6030">
            <w:pPr>
              <w:spacing w:after="0" w:line="240" w:lineRule="auto"/>
              <w:rPr>
                <w:sz w:val="18"/>
                <w:szCs w:val="18"/>
              </w:rPr>
            </w:pPr>
          </w:p>
          <w:p w:rsidR="00402676" w:rsidRPr="007F659B" w:rsidRDefault="00402676" w:rsidP="00CE6030">
            <w:pPr>
              <w:spacing w:after="0" w:line="240" w:lineRule="auto"/>
              <w:rPr>
                <w:sz w:val="18"/>
                <w:szCs w:val="18"/>
              </w:rPr>
            </w:pPr>
          </w:p>
          <w:p w:rsidR="00402676" w:rsidRPr="007F659B" w:rsidRDefault="00402676" w:rsidP="00CE6030">
            <w:pPr>
              <w:spacing w:after="0" w:line="240" w:lineRule="auto"/>
              <w:rPr>
                <w:sz w:val="18"/>
                <w:szCs w:val="18"/>
              </w:rPr>
            </w:pPr>
          </w:p>
        </w:tc>
        <w:tc>
          <w:tcPr>
            <w:tcW w:w="2473" w:type="pct"/>
            <w:tcBorders>
              <w:left w:val="single" w:sz="24" w:space="0" w:color="auto"/>
            </w:tcBorders>
          </w:tcPr>
          <w:p w:rsidR="00402676" w:rsidRPr="007F659B" w:rsidRDefault="00402676" w:rsidP="00CE6030">
            <w:pPr>
              <w:spacing w:after="0" w:line="240" w:lineRule="auto"/>
              <w:rPr>
                <w:sz w:val="18"/>
                <w:szCs w:val="18"/>
              </w:rPr>
            </w:pPr>
          </w:p>
          <w:p w:rsidR="00402676" w:rsidRPr="007F659B" w:rsidRDefault="00402676" w:rsidP="00A12965">
            <w:pPr>
              <w:numPr>
                <w:ilvl w:val="0"/>
                <w:numId w:val="10"/>
              </w:numPr>
              <w:spacing w:after="0" w:line="240" w:lineRule="auto"/>
              <w:rPr>
                <w:sz w:val="18"/>
                <w:szCs w:val="18"/>
              </w:rPr>
            </w:pPr>
            <w:r w:rsidRPr="007F659B">
              <w:rPr>
                <w:sz w:val="18"/>
                <w:szCs w:val="18"/>
              </w:rPr>
              <w:t>Amener l’élève à reconnaître et utiliser les modes de représentation mathématique.</w:t>
            </w:r>
          </w:p>
          <w:p w:rsidR="00402676" w:rsidRPr="007F659B" w:rsidRDefault="00402676" w:rsidP="00A12965">
            <w:pPr>
              <w:numPr>
                <w:ilvl w:val="0"/>
                <w:numId w:val="10"/>
              </w:numPr>
              <w:spacing w:after="0" w:line="240" w:lineRule="auto"/>
              <w:rPr>
                <w:sz w:val="18"/>
                <w:szCs w:val="18"/>
              </w:rPr>
            </w:pPr>
            <w:r w:rsidRPr="007F659B">
              <w:rPr>
                <w:sz w:val="18"/>
                <w:szCs w:val="18"/>
              </w:rPr>
              <w:t>Des activités pédagogiques réalisées en équipe ou individuellement permettront l’approfondissement des notions.</w:t>
            </w:r>
          </w:p>
          <w:p w:rsidR="00402676" w:rsidRPr="007F659B" w:rsidRDefault="00402676" w:rsidP="00A12965">
            <w:pPr>
              <w:numPr>
                <w:ilvl w:val="0"/>
                <w:numId w:val="10"/>
              </w:numPr>
              <w:spacing w:after="0" w:line="240" w:lineRule="auto"/>
              <w:rPr>
                <w:sz w:val="18"/>
                <w:szCs w:val="18"/>
              </w:rPr>
            </w:pPr>
            <w:r w:rsidRPr="007F659B">
              <w:rPr>
                <w:sz w:val="18"/>
                <w:szCs w:val="18"/>
              </w:rPr>
              <w:t>Des liens interdisciplinaires sont ciblés et utilisés afin d’extrapoler les concepts vus et leur donner une portée générale.</w:t>
            </w:r>
          </w:p>
          <w:p w:rsidR="00402676" w:rsidRPr="007F659B" w:rsidRDefault="00402676" w:rsidP="00A12965">
            <w:pPr>
              <w:numPr>
                <w:ilvl w:val="0"/>
                <w:numId w:val="10"/>
              </w:numPr>
              <w:spacing w:after="0" w:line="240" w:lineRule="auto"/>
              <w:rPr>
                <w:sz w:val="18"/>
                <w:szCs w:val="18"/>
              </w:rPr>
            </w:pPr>
            <w:r w:rsidRPr="007F659B">
              <w:rPr>
                <w:sz w:val="18"/>
                <w:szCs w:val="18"/>
              </w:rPr>
              <w:t>Pour le groupe lls</w:t>
            </w:r>
            <w:r w:rsidR="00C10FB1">
              <w:rPr>
                <w:sz w:val="18"/>
                <w:szCs w:val="18"/>
              </w:rPr>
              <w:t>,</w:t>
            </w:r>
            <w:r w:rsidRPr="007F659B">
              <w:rPr>
                <w:sz w:val="18"/>
                <w:szCs w:val="18"/>
              </w:rPr>
              <w:t xml:space="preserve"> un pr</w:t>
            </w:r>
            <w:r w:rsidR="00C10FB1">
              <w:rPr>
                <w:sz w:val="18"/>
                <w:szCs w:val="18"/>
              </w:rPr>
              <w:t>ojet fablab, construction d’une maquette ou un projet statistique sur les modes de vie.</w:t>
            </w:r>
          </w:p>
          <w:p w:rsidR="00402676" w:rsidRPr="00CE6030" w:rsidRDefault="00402676" w:rsidP="00E20DC4">
            <w:pPr>
              <w:spacing w:after="0" w:line="240" w:lineRule="auto"/>
              <w:ind w:left="720"/>
              <w:rPr>
                <w:sz w:val="18"/>
                <w:szCs w:val="18"/>
              </w:rPr>
            </w:pPr>
          </w:p>
        </w:tc>
      </w:tr>
      <w:tr w:rsidR="00402676" w:rsidRPr="00BA6EF6">
        <w:tc>
          <w:tcPr>
            <w:tcW w:w="2527" w:type="pct"/>
            <w:tcBorders>
              <w:right w:val="single" w:sz="24" w:space="0" w:color="auto"/>
            </w:tcBorders>
            <w:shd w:val="clear" w:color="auto" w:fill="BFBFBF"/>
          </w:tcPr>
          <w:p w:rsidR="00402676" w:rsidRPr="00CE6030" w:rsidRDefault="00402676" w:rsidP="00CE6030">
            <w:pPr>
              <w:spacing w:after="0" w:line="240" w:lineRule="auto"/>
              <w:jc w:val="center"/>
              <w:rPr>
                <w:sz w:val="24"/>
                <w:szCs w:val="24"/>
              </w:rPr>
            </w:pPr>
            <w:r w:rsidRPr="00CE6030">
              <w:rPr>
                <w:b/>
                <w:bCs/>
                <w:sz w:val="24"/>
                <w:szCs w:val="24"/>
              </w:rPr>
              <w:t>Devoirs et leçons</w:t>
            </w:r>
          </w:p>
        </w:tc>
        <w:tc>
          <w:tcPr>
            <w:tcW w:w="2473" w:type="pct"/>
            <w:tcBorders>
              <w:left w:val="single" w:sz="24" w:space="0" w:color="auto"/>
            </w:tcBorders>
            <w:shd w:val="clear" w:color="auto" w:fill="BFBFBF"/>
          </w:tcPr>
          <w:p w:rsidR="00402676" w:rsidRPr="00CE6030" w:rsidRDefault="00402676" w:rsidP="00CE6030">
            <w:pPr>
              <w:spacing w:after="0" w:line="240" w:lineRule="auto"/>
              <w:jc w:val="center"/>
              <w:rPr>
                <w:sz w:val="24"/>
                <w:szCs w:val="24"/>
              </w:rPr>
            </w:pPr>
            <w:r w:rsidRPr="00CE6030">
              <w:rPr>
                <w:b/>
                <w:bCs/>
                <w:sz w:val="24"/>
                <w:szCs w:val="24"/>
              </w:rPr>
              <w:t>Récupération et enrichissement</w:t>
            </w:r>
          </w:p>
        </w:tc>
      </w:tr>
      <w:tr w:rsidR="00402676" w:rsidRPr="00BA6EF6">
        <w:tc>
          <w:tcPr>
            <w:tcW w:w="2527" w:type="pct"/>
            <w:tcBorders>
              <w:right w:val="single" w:sz="24" w:space="0" w:color="auto"/>
            </w:tcBorders>
          </w:tcPr>
          <w:p w:rsidR="00402676" w:rsidRPr="00CE6030" w:rsidRDefault="00402676" w:rsidP="00CE6030">
            <w:pPr>
              <w:spacing w:after="0" w:line="240" w:lineRule="auto"/>
            </w:pPr>
          </w:p>
          <w:p w:rsidR="00402676" w:rsidRDefault="00402676" w:rsidP="00CE6030">
            <w:pPr>
              <w:spacing w:after="0" w:line="240" w:lineRule="auto"/>
            </w:pPr>
            <w:r>
              <w:t>Selon les consignes de l’enseignant.</w:t>
            </w:r>
          </w:p>
          <w:p w:rsidR="00402676" w:rsidRPr="00CE6030" w:rsidRDefault="00402676" w:rsidP="00CE6030">
            <w:pPr>
              <w:spacing w:after="0" w:line="240" w:lineRule="auto"/>
            </w:pPr>
            <w:r>
              <w:t>Habituellement, terminer les exercices commencés en classe.</w:t>
            </w:r>
          </w:p>
          <w:p w:rsidR="00402676" w:rsidRPr="00CE6030" w:rsidRDefault="00402676" w:rsidP="00CE6030">
            <w:pPr>
              <w:spacing w:after="0" w:line="240" w:lineRule="auto"/>
            </w:pPr>
            <w:r>
              <w:t>Revoir les notes de cours.</w:t>
            </w:r>
          </w:p>
          <w:p w:rsidR="00402676" w:rsidRPr="00CE6030" w:rsidRDefault="00402676" w:rsidP="00CE6030">
            <w:pPr>
              <w:spacing w:after="0" w:line="240" w:lineRule="auto"/>
            </w:pPr>
          </w:p>
          <w:p w:rsidR="00402676" w:rsidRPr="00CE6030" w:rsidRDefault="00402676" w:rsidP="00CE6030">
            <w:pPr>
              <w:spacing w:after="0" w:line="240" w:lineRule="auto"/>
            </w:pPr>
          </w:p>
        </w:tc>
        <w:tc>
          <w:tcPr>
            <w:tcW w:w="2473" w:type="pct"/>
            <w:tcBorders>
              <w:left w:val="single" w:sz="24" w:space="0" w:color="auto"/>
            </w:tcBorders>
          </w:tcPr>
          <w:p w:rsidR="00402676" w:rsidRDefault="00402676" w:rsidP="00CE6030">
            <w:pPr>
              <w:spacing w:after="0" w:line="240" w:lineRule="auto"/>
            </w:pPr>
            <w:r>
              <w:t>Enrichissement :</w:t>
            </w:r>
          </w:p>
          <w:p w:rsidR="00402676" w:rsidRDefault="00402676" w:rsidP="00CE6030">
            <w:pPr>
              <w:spacing w:after="0" w:line="240" w:lineRule="auto"/>
            </w:pPr>
            <w:r>
              <w:t>À l’occasion, de l’enrichissement sera fait en classe, en plus des concours de math.</w:t>
            </w:r>
          </w:p>
          <w:p w:rsidR="00402676" w:rsidRDefault="00402676" w:rsidP="00CE6030">
            <w:pPr>
              <w:spacing w:after="0" w:line="240" w:lineRule="auto"/>
            </w:pPr>
            <w:r>
              <w:t>Récupération :</w:t>
            </w:r>
          </w:p>
          <w:p w:rsidR="00402676" w:rsidRDefault="00402676" w:rsidP="00CE6030">
            <w:pPr>
              <w:spacing w:after="0" w:line="240" w:lineRule="auto"/>
            </w:pPr>
            <w:r>
              <w:t xml:space="preserve">Il est de la responsabilité de l’élève d’identifier ses besoins à l’aide des séances de récupération que l’enseignant met à sa disposition. </w:t>
            </w:r>
          </w:p>
          <w:p w:rsidR="00002EB1" w:rsidRPr="00CE6030" w:rsidRDefault="00002EB1" w:rsidP="00CE6030">
            <w:pPr>
              <w:spacing w:after="0" w:line="240" w:lineRule="auto"/>
            </w:pPr>
          </w:p>
        </w:tc>
      </w:tr>
    </w:tbl>
    <w:p w:rsidR="00402676" w:rsidRPr="007F160B" w:rsidRDefault="00402676">
      <w:r>
        <w:rPr>
          <w:sz w:val="18"/>
          <w:szCs w:val="18"/>
        </w:rPr>
        <w:br w:type="page"/>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6"/>
        <w:gridCol w:w="8280"/>
      </w:tblGrid>
      <w:tr w:rsidR="00402676">
        <w:tc>
          <w:tcPr>
            <w:tcW w:w="5000" w:type="pct"/>
            <w:gridSpan w:val="2"/>
            <w:shd w:val="clear" w:color="auto" w:fill="BFBFBF"/>
          </w:tcPr>
          <w:p w:rsidR="00402676" w:rsidRPr="00CE6030" w:rsidRDefault="00402676" w:rsidP="00CE6030">
            <w:pPr>
              <w:spacing w:after="0" w:line="240" w:lineRule="auto"/>
              <w:jc w:val="center"/>
              <w:rPr>
                <w:b/>
                <w:bCs/>
                <w:sz w:val="32"/>
                <w:szCs w:val="32"/>
              </w:rPr>
            </w:pPr>
            <w:r w:rsidRPr="00CE6030">
              <w:rPr>
                <w:b/>
                <w:bCs/>
                <w:sz w:val="32"/>
                <w:szCs w:val="32"/>
              </w:rPr>
              <w:t xml:space="preserve">Mathématique, </w:t>
            </w:r>
            <w:r w:rsidRPr="00CE6030">
              <w:rPr>
                <w:b/>
                <w:bCs/>
                <w:sz w:val="28"/>
                <w:szCs w:val="28"/>
              </w:rPr>
              <w:t>2</w:t>
            </w:r>
            <w:r w:rsidRPr="00CE6030">
              <w:rPr>
                <w:b/>
                <w:bCs/>
                <w:sz w:val="28"/>
                <w:szCs w:val="28"/>
                <w:vertAlign w:val="superscript"/>
              </w:rPr>
              <w:t>e</w:t>
            </w:r>
            <w:r w:rsidRPr="00CE6030">
              <w:rPr>
                <w:b/>
                <w:bCs/>
                <w:sz w:val="28"/>
                <w:szCs w:val="28"/>
              </w:rPr>
              <w:t xml:space="preserve"> secondaire, 063206</w:t>
            </w:r>
          </w:p>
        </w:tc>
      </w:tr>
      <w:tr w:rsidR="00402676">
        <w:tc>
          <w:tcPr>
            <w:tcW w:w="5000" w:type="pct"/>
            <w:gridSpan w:val="2"/>
            <w:shd w:val="clear" w:color="auto" w:fill="000000"/>
          </w:tcPr>
          <w:p w:rsidR="00402676" w:rsidRPr="00CE6030" w:rsidRDefault="00402676" w:rsidP="00CE6030">
            <w:pPr>
              <w:spacing w:after="0" w:line="240" w:lineRule="auto"/>
              <w:jc w:val="center"/>
              <w:rPr>
                <w:sz w:val="28"/>
                <w:szCs w:val="28"/>
              </w:rPr>
            </w:pPr>
            <w:r w:rsidRPr="00CE6030">
              <w:rPr>
                <w:sz w:val="28"/>
                <w:szCs w:val="28"/>
              </w:rPr>
              <w:t>Compétences développées par l’élève</w:t>
            </w:r>
          </w:p>
        </w:tc>
      </w:tr>
      <w:tr w:rsidR="00402676">
        <w:tc>
          <w:tcPr>
            <w:tcW w:w="1242" w:type="pct"/>
            <w:shd w:val="clear" w:color="auto" w:fill="FFFFFF"/>
          </w:tcPr>
          <w:p w:rsidR="00402676" w:rsidRPr="00CE6030" w:rsidRDefault="00402676" w:rsidP="00CE6030">
            <w:pPr>
              <w:tabs>
                <w:tab w:val="left" w:pos="2002"/>
              </w:tabs>
              <w:spacing w:after="0" w:line="240" w:lineRule="auto"/>
              <w:jc w:val="center"/>
              <w:rPr>
                <w:b/>
                <w:bCs/>
                <w:sz w:val="20"/>
                <w:szCs w:val="20"/>
              </w:rPr>
            </w:pPr>
          </w:p>
          <w:p w:rsidR="00402676" w:rsidRPr="00CE6030" w:rsidRDefault="00402676" w:rsidP="00CE6030">
            <w:pPr>
              <w:spacing w:after="0" w:line="240" w:lineRule="auto"/>
              <w:jc w:val="center"/>
              <w:rPr>
                <w:b/>
                <w:bCs/>
                <w:sz w:val="20"/>
                <w:szCs w:val="20"/>
              </w:rPr>
            </w:pPr>
            <w:r w:rsidRPr="00CE6030">
              <w:rPr>
                <w:b/>
                <w:bCs/>
                <w:sz w:val="20"/>
                <w:szCs w:val="20"/>
              </w:rPr>
              <w:t>Résoudre une situation-problème (30 %)*</w:t>
            </w:r>
          </w:p>
          <w:p w:rsidR="00402676" w:rsidRPr="00CE6030" w:rsidRDefault="00402676" w:rsidP="00CE6030">
            <w:pPr>
              <w:tabs>
                <w:tab w:val="left" w:pos="2002"/>
              </w:tabs>
              <w:spacing w:after="0" w:line="240" w:lineRule="auto"/>
              <w:jc w:val="center"/>
              <w:rPr>
                <w:b/>
                <w:bCs/>
                <w:sz w:val="20"/>
                <w:szCs w:val="20"/>
              </w:rPr>
            </w:pPr>
          </w:p>
        </w:tc>
        <w:tc>
          <w:tcPr>
            <w:tcW w:w="3758" w:type="pct"/>
            <w:shd w:val="clear" w:color="auto" w:fill="FFFFFF"/>
          </w:tcPr>
          <w:p w:rsidR="00402676" w:rsidRPr="00CE6030" w:rsidRDefault="00402676" w:rsidP="00CE6030">
            <w:pPr>
              <w:spacing w:after="0" w:line="240" w:lineRule="auto"/>
              <w:jc w:val="both"/>
              <w:rPr>
                <w:sz w:val="16"/>
                <w:szCs w:val="16"/>
              </w:rPr>
            </w:pPr>
            <w:r w:rsidRPr="00CE6030">
              <w:rPr>
                <w:sz w:val="16"/>
                <w:szCs w:val="16"/>
              </w:rPr>
              <w:t>L’élève met en place diverses stratégies mobilisant des savoirs tout en faisant appel à son discernement et à ses capacités à représenter la situation par un modèle mathématique approprié, à élaborer  une solution et à communiquer sa solution  à l’aide d’un langage mathématique rigoureux. Tout au long du premier cycle du secondaire, l’élève poursuivra le développement de la compétence en vivant des situations-problèmes de plus en plus complexes faisant appel à plus d’un type de données.</w:t>
            </w:r>
          </w:p>
        </w:tc>
      </w:tr>
      <w:tr w:rsidR="00402676">
        <w:trPr>
          <w:trHeight w:val="1025"/>
        </w:trPr>
        <w:tc>
          <w:tcPr>
            <w:tcW w:w="1242" w:type="pct"/>
          </w:tcPr>
          <w:p w:rsidR="00402676" w:rsidRPr="00CE6030" w:rsidRDefault="00402676" w:rsidP="00CE6030">
            <w:pPr>
              <w:tabs>
                <w:tab w:val="left" w:pos="2002"/>
              </w:tabs>
              <w:spacing w:after="0" w:line="240" w:lineRule="auto"/>
              <w:jc w:val="center"/>
              <w:rPr>
                <w:b/>
                <w:bCs/>
                <w:sz w:val="20"/>
                <w:szCs w:val="20"/>
              </w:rPr>
            </w:pPr>
          </w:p>
          <w:p w:rsidR="00402676" w:rsidRPr="00CE6030" w:rsidRDefault="00402676" w:rsidP="00CE6030">
            <w:pPr>
              <w:spacing w:after="0" w:line="240" w:lineRule="auto"/>
              <w:jc w:val="center"/>
              <w:rPr>
                <w:b/>
                <w:bCs/>
                <w:sz w:val="20"/>
                <w:szCs w:val="20"/>
              </w:rPr>
            </w:pPr>
            <w:r w:rsidRPr="00CE6030">
              <w:rPr>
                <w:b/>
                <w:bCs/>
                <w:sz w:val="20"/>
                <w:szCs w:val="20"/>
              </w:rPr>
              <w:t>Utiliser un raisonnement mathématique</w:t>
            </w:r>
          </w:p>
          <w:p w:rsidR="00402676" w:rsidRPr="00CE6030" w:rsidRDefault="00402676" w:rsidP="00CE6030">
            <w:pPr>
              <w:spacing w:after="0" w:line="240" w:lineRule="auto"/>
              <w:jc w:val="center"/>
              <w:rPr>
                <w:b/>
                <w:bCs/>
                <w:sz w:val="20"/>
                <w:szCs w:val="20"/>
              </w:rPr>
            </w:pPr>
            <w:r w:rsidRPr="00CE6030">
              <w:rPr>
                <w:b/>
                <w:bCs/>
                <w:sz w:val="20"/>
                <w:szCs w:val="20"/>
              </w:rPr>
              <w:t>(70 %)*</w:t>
            </w:r>
          </w:p>
        </w:tc>
        <w:tc>
          <w:tcPr>
            <w:tcW w:w="3758" w:type="pct"/>
          </w:tcPr>
          <w:p w:rsidR="00402676" w:rsidRPr="00CE6030" w:rsidRDefault="00402676" w:rsidP="00CE6030">
            <w:pPr>
              <w:autoSpaceDE w:val="0"/>
              <w:autoSpaceDN w:val="0"/>
              <w:adjustRightInd w:val="0"/>
              <w:spacing w:after="0" w:line="240" w:lineRule="auto"/>
              <w:jc w:val="both"/>
              <w:rPr>
                <w:sz w:val="16"/>
                <w:szCs w:val="16"/>
              </w:rPr>
            </w:pPr>
            <w:r w:rsidRPr="00CE6030">
              <w:rPr>
                <w:sz w:val="16"/>
                <w:szCs w:val="16"/>
              </w:rPr>
              <w:t>L’élève résout des situations qui consistent à formuler des conjectures, à critiquer et à justifier une proposition en faisant appel à un ensemble organisé de savoirs mathématiques. De plus, il développera ses capacités à argumenter et à interpréter les situations en utilisant des termes mathématiques rigoureux et un langage courant (oral ou écrit) approprié.</w:t>
            </w:r>
          </w:p>
          <w:p w:rsidR="00402676" w:rsidRPr="00CE6030" w:rsidRDefault="00402676" w:rsidP="00CE6030">
            <w:pPr>
              <w:autoSpaceDE w:val="0"/>
              <w:autoSpaceDN w:val="0"/>
              <w:adjustRightInd w:val="0"/>
              <w:spacing w:after="0" w:line="240" w:lineRule="auto"/>
              <w:jc w:val="both"/>
              <w:rPr>
                <w:sz w:val="16"/>
                <w:szCs w:val="16"/>
              </w:rPr>
            </w:pPr>
          </w:p>
          <w:p w:rsidR="00402676" w:rsidRPr="00CE6030" w:rsidRDefault="00402676" w:rsidP="00CE6030">
            <w:pPr>
              <w:autoSpaceDE w:val="0"/>
              <w:autoSpaceDN w:val="0"/>
              <w:adjustRightInd w:val="0"/>
              <w:spacing w:after="0" w:line="240" w:lineRule="auto"/>
              <w:jc w:val="both"/>
              <w:rPr>
                <w:strike/>
                <w:sz w:val="16"/>
                <w:szCs w:val="16"/>
              </w:rPr>
            </w:pPr>
            <w:r w:rsidRPr="00CE6030">
              <w:rPr>
                <w:b/>
                <w:bCs/>
                <w:sz w:val="16"/>
                <w:szCs w:val="16"/>
              </w:rPr>
              <w:t>Note</w:t>
            </w:r>
            <w:r w:rsidRPr="00CE6030">
              <w:rPr>
                <w:sz w:val="16"/>
                <w:szCs w:val="16"/>
              </w:rPr>
              <w:t> : Le résultat lié à la vérification de l’acquisition des connaissances est pris en compte dans cette compétence.</w:t>
            </w:r>
          </w:p>
        </w:tc>
      </w:tr>
      <w:tr w:rsidR="00402676">
        <w:trPr>
          <w:trHeight w:val="1125"/>
        </w:trPr>
        <w:tc>
          <w:tcPr>
            <w:tcW w:w="1242" w:type="pct"/>
            <w:shd w:val="clear" w:color="auto" w:fill="FFFFFF"/>
          </w:tcPr>
          <w:p w:rsidR="00402676" w:rsidRPr="00CE6030" w:rsidRDefault="00402676" w:rsidP="00CE6030">
            <w:pPr>
              <w:spacing w:after="0" w:line="240" w:lineRule="auto"/>
              <w:jc w:val="center"/>
              <w:rPr>
                <w:sz w:val="20"/>
                <w:szCs w:val="20"/>
              </w:rPr>
            </w:pPr>
          </w:p>
          <w:p w:rsidR="00402676" w:rsidRPr="00CE6030" w:rsidRDefault="00402676" w:rsidP="00CE6030">
            <w:pPr>
              <w:spacing w:after="0" w:line="240" w:lineRule="auto"/>
              <w:jc w:val="center"/>
              <w:rPr>
                <w:sz w:val="20"/>
                <w:szCs w:val="20"/>
              </w:rPr>
            </w:pPr>
            <w:r w:rsidRPr="00CE6030">
              <w:rPr>
                <w:sz w:val="20"/>
                <w:szCs w:val="20"/>
              </w:rPr>
              <w:t>Communiquer à l’aide du langage mathématique*</w:t>
            </w:r>
          </w:p>
        </w:tc>
        <w:tc>
          <w:tcPr>
            <w:tcW w:w="3758" w:type="pct"/>
            <w:shd w:val="clear" w:color="auto" w:fill="FFFFFF"/>
          </w:tcPr>
          <w:p w:rsidR="00402676" w:rsidRPr="00CE6030" w:rsidRDefault="00402676" w:rsidP="00CE6030">
            <w:pPr>
              <w:spacing w:after="0" w:line="240" w:lineRule="auto"/>
              <w:jc w:val="both"/>
              <w:rPr>
                <w:sz w:val="16"/>
                <w:szCs w:val="16"/>
              </w:rPr>
            </w:pPr>
            <w:r w:rsidRPr="00CE6030">
              <w:rPr>
                <w:sz w:val="16"/>
                <w:szCs w:val="16"/>
              </w:rPr>
              <w:t xml:space="preserve">L’élève résout des situations à partir desquelles il devra interpréter et produire des messages en utilisant le langage courant et des éléments spécifiques du langage mathématique : termes, symboles et notations. Ceci, tout en lui permettant de développer sa rigueur et sa précision en mathématique.  Le développement et l’exercice de cette compétence sont liés aux éléments du contenu de formation de chacun des champs de la mathématique. </w:t>
            </w:r>
          </w:p>
          <w:p w:rsidR="00402676" w:rsidRPr="00CE6030" w:rsidRDefault="00402676" w:rsidP="00CE6030">
            <w:pPr>
              <w:spacing w:after="0" w:line="240" w:lineRule="auto"/>
              <w:jc w:val="both"/>
              <w:rPr>
                <w:sz w:val="8"/>
                <w:szCs w:val="8"/>
              </w:rPr>
            </w:pPr>
          </w:p>
          <w:p w:rsidR="00402676" w:rsidRPr="00CE6030" w:rsidRDefault="00402676" w:rsidP="00CE6030">
            <w:pPr>
              <w:spacing w:after="0" w:line="240" w:lineRule="auto"/>
              <w:jc w:val="both"/>
              <w:rPr>
                <w:b/>
                <w:bCs/>
                <w:sz w:val="16"/>
                <w:szCs w:val="16"/>
              </w:rPr>
            </w:pPr>
            <w:r w:rsidRPr="00CE6030">
              <w:rPr>
                <w:b/>
                <w:bCs/>
                <w:sz w:val="16"/>
                <w:szCs w:val="16"/>
              </w:rPr>
              <w:t>Cette compétence fait l’objet d’apprentissage et de rétroaction à l’élève, mais elle n’est pas considérée dans les résultats communiqués au bulletin.</w:t>
            </w:r>
          </w:p>
        </w:tc>
      </w:tr>
      <w:tr w:rsidR="00402676">
        <w:trPr>
          <w:trHeight w:val="1429"/>
        </w:trPr>
        <w:tc>
          <w:tcPr>
            <w:tcW w:w="5000" w:type="pct"/>
            <w:gridSpan w:val="2"/>
            <w:shd w:val="clear" w:color="auto" w:fill="FFFFFF"/>
          </w:tcPr>
          <w:p w:rsidR="00402676" w:rsidRPr="00CE6030" w:rsidRDefault="00402676" w:rsidP="00CE6030">
            <w:pPr>
              <w:tabs>
                <w:tab w:val="left" w:pos="1191"/>
              </w:tabs>
              <w:spacing w:after="0" w:line="240" w:lineRule="auto"/>
              <w:jc w:val="both"/>
              <w:rPr>
                <w:b/>
                <w:bCs/>
                <w:sz w:val="16"/>
                <w:szCs w:val="16"/>
              </w:rPr>
            </w:pPr>
            <w:r w:rsidRPr="00CE6030">
              <w:rPr>
                <w:b/>
                <w:bCs/>
                <w:sz w:val="16"/>
                <w:szCs w:val="16"/>
              </w:rPr>
              <w:t>Ci-dessous sont présentés les champs mathématiques à l’étude et les principales connaissances que l’élève de la deuxième secondaire sera amené à maîtriser et à mobiliser pour  développer les trois compétences.</w:t>
            </w:r>
          </w:p>
          <w:p w:rsidR="00402676" w:rsidRPr="00CE6030" w:rsidRDefault="00402676" w:rsidP="00CE6030">
            <w:pPr>
              <w:tabs>
                <w:tab w:val="left" w:pos="1191"/>
              </w:tabs>
              <w:spacing w:after="0" w:line="240" w:lineRule="auto"/>
              <w:jc w:val="both"/>
              <w:rPr>
                <w:b/>
                <w:bCs/>
                <w:sz w:val="8"/>
                <w:szCs w:val="8"/>
              </w:rPr>
            </w:pPr>
          </w:p>
          <w:p w:rsidR="00402676" w:rsidRPr="00CE6030" w:rsidRDefault="00402676" w:rsidP="00CE6030">
            <w:pPr>
              <w:tabs>
                <w:tab w:val="left" w:pos="1191"/>
              </w:tabs>
              <w:spacing w:after="0" w:line="240" w:lineRule="auto"/>
              <w:jc w:val="both"/>
              <w:rPr>
                <w:sz w:val="16"/>
                <w:szCs w:val="16"/>
              </w:rPr>
            </w:pPr>
            <w:r w:rsidRPr="00CE6030">
              <w:rPr>
                <w:b/>
                <w:bCs/>
                <w:sz w:val="16"/>
                <w:szCs w:val="16"/>
              </w:rPr>
              <w:t>Arithmétique :</w:t>
            </w:r>
            <w:r w:rsidRPr="00CE6030">
              <w:rPr>
                <w:sz w:val="16"/>
                <w:szCs w:val="16"/>
              </w:rPr>
              <w:t xml:space="preserve"> Poursuivre l’exploitation du sens du nombre et des opérations. Passer d’une forme d’écriture d’un nombre à une autre et effectuer les quatre opérations sur ces nombres. Étude du sens et de l’analyse de situations de proportionnalité.     </w:t>
            </w:r>
          </w:p>
          <w:p w:rsidR="00402676" w:rsidRPr="00CE6030" w:rsidRDefault="00402676" w:rsidP="00CE6030">
            <w:pPr>
              <w:tabs>
                <w:tab w:val="left" w:pos="1191"/>
              </w:tabs>
              <w:spacing w:after="0" w:line="240" w:lineRule="auto"/>
              <w:jc w:val="both"/>
              <w:rPr>
                <w:sz w:val="16"/>
                <w:szCs w:val="16"/>
              </w:rPr>
            </w:pPr>
            <w:r w:rsidRPr="00CE6030">
              <w:rPr>
                <w:b/>
                <w:bCs/>
                <w:sz w:val="16"/>
                <w:szCs w:val="16"/>
              </w:rPr>
              <w:t xml:space="preserve">Algèbre : </w:t>
            </w:r>
            <w:r w:rsidRPr="00CE6030">
              <w:rPr>
                <w:sz w:val="16"/>
                <w:szCs w:val="16"/>
              </w:rPr>
              <w:t>Passage de la pensée arithmétique vers la pensée algébrique. Construire, manipuler et résoudre des expressions algébriques dans lesquelles les inconnus ont été identifiés. Effectuer des opérations sur des expressions algébriques (addition, soustraction, multiplication et division par une constante). Représenter une situation par une expression algébrique du premier degré.</w:t>
            </w:r>
          </w:p>
          <w:p w:rsidR="00402676" w:rsidRPr="00CE6030" w:rsidRDefault="00402676" w:rsidP="00CE6030">
            <w:pPr>
              <w:tabs>
                <w:tab w:val="left" w:pos="1191"/>
              </w:tabs>
              <w:spacing w:after="0" w:line="240" w:lineRule="auto"/>
              <w:jc w:val="both"/>
              <w:rPr>
                <w:sz w:val="16"/>
                <w:szCs w:val="16"/>
              </w:rPr>
            </w:pPr>
            <w:r w:rsidRPr="00CE6030">
              <w:rPr>
                <w:b/>
                <w:bCs/>
                <w:sz w:val="16"/>
                <w:szCs w:val="16"/>
              </w:rPr>
              <w:t xml:space="preserve">Probabilités : </w:t>
            </w:r>
            <w:r w:rsidRPr="00CE6030">
              <w:rPr>
                <w:sz w:val="16"/>
                <w:szCs w:val="16"/>
              </w:rPr>
              <w:t>Réaliser ou simuler des expériences aléatoires (avec ou sans remise, avec ou sans ordre). Dénombrer les possibilités. Calculer des probabilités (événement, résultat). Reconnaître les différents types d’événements. Faire des prédictions et prendre des décisions éclairées dans divers types de situations.</w:t>
            </w:r>
          </w:p>
          <w:p w:rsidR="00402676" w:rsidRPr="00CE6030" w:rsidRDefault="00402676" w:rsidP="00CE6030">
            <w:pPr>
              <w:tabs>
                <w:tab w:val="left" w:pos="1191"/>
              </w:tabs>
              <w:spacing w:after="0" w:line="240" w:lineRule="auto"/>
              <w:jc w:val="both"/>
              <w:rPr>
                <w:sz w:val="16"/>
                <w:szCs w:val="16"/>
              </w:rPr>
            </w:pPr>
            <w:r w:rsidRPr="00CE6030">
              <w:rPr>
                <w:b/>
                <w:bCs/>
                <w:sz w:val="16"/>
                <w:szCs w:val="16"/>
              </w:rPr>
              <w:t xml:space="preserve">Statistiques : </w:t>
            </w:r>
            <w:r w:rsidRPr="00CE6030">
              <w:rPr>
                <w:sz w:val="16"/>
                <w:szCs w:val="16"/>
              </w:rPr>
              <w:t>Réaliser des études à l’aide de sondages ou de recensements. S’approprier divers outils pour traiter les données et tirer les informations appropriées. Construire et analyser le diagramme circulaire</w:t>
            </w:r>
          </w:p>
          <w:p w:rsidR="00402676" w:rsidRPr="00CE6030" w:rsidRDefault="00402676" w:rsidP="00CE6030">
            <w:pPr>
              <w:tabs>
                <w:tab w:val="left" w:pos="1191"/>
              </w:tabs>
              <w:spacing w:after="0" w:line="240" w:lineRule="auto"/>
              <w:jc w:val="both"/>
              <w:rPr>
                <w:sz w:val="16"/>
                <w:szCs w:val="16"/>
              </w:rPr>
            </w:pPr>
            <w:r w:rsidRPr="00CE6030">
              <w:rPr>
                <w:b/>
                <w:bCs/>
                <w:sz w:val="16"/>
                <w:szCs w:val="16"/>
              </w:rPr>
              <w:t xml:space="preserve">Géométrie : </w:t>
            </w:r>
            <w:r w:rsidRPr="00CE6030">
              <w:rPr>
                <w:sz w:val="16"/>
                <w:szCs w:val="16"/>
              </w:rPr>
              <w:t xml:space="preserve">Construire ou manipuler le calcul du périmètre et de l’aire de figures planes ou de solides. S’approprier le concept de figures semblables.  Calculer des mesures manquantes.  Étudier le cercle. </w:t>
            </w:r>
          </w:p>
        </w:tc>
      </w:tr>
    </w:tbl>
    <w:p w:rsidR="00402676" w:rsidRPr="00522C12" w:rsidRDefault="00402676" w:rsidP="007169B7">
      <w:pPr>
        <w:rPr>
          <w:b/>
          <w:bCs/>
          <w:sz w:val="8"/>
          <w:szCs w:val="8"/>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8"/>
        <w:gridCol w:w="1241"/>
        <w:gridCol w:w="2150"/>
        <w:gridCol w:w="1240"/>
        <w:gridCol w:w="2432"/>
        <w:gridCol w:w="989"/>
        <w:gridCol w:w="846"/>
      </w:tblGrid>
      <w:tr w:rsidR="00402676">
        <w:trPr>
          <w:trHeight w:val="415"/>
        </w:trPr>
        <w:tc>
          <w:tcPr>
            <w:tcW w:w="5000" w:type="pct"/>
            <w:gridSpan w:val="7"/>
            <w:shd w:val="clear" w:color="auto" w:fill="000000"/>
          </w:tcPr>
          <w:p w:rsidR="00402676" w:rsidRPr="00CE6030" w:rsidRDefault="00402676" w:rsidP="00CE6030">
            <w:pPr>
              <w:tabs>
                <w:tab w:val="left" w:pos="2002"/>
              </w:tabs>
              <w:spacing w:after="0" w:line="240" w:lineRule="auto"/>
              <w:jc w:val="center"/>
              <w:rPr>
                <w:sz w:val="28"/>
                <w:szCs w:val="28"/>
              </w:rPr>
            </w:pPr>
            <w:r w:rsidRPr="00CE6030">
              <w:rPr>
                <w:sz w:val="28"/>
                <w:szCs w:val="28"/>
              </w:rPr>
              <w:t>Principales évaluations et résultats inscrits au bulletin</w:t>
            </w:r>
          </w:p>
        </w:tc>
      </w:tr>
      <w:tr w:rsidR="00402676">
        <w:trPr>
          <w:trHeight w:val="547"/>
        </w:trPr>
        <w:tc>
          <w:tcPr>
            <w:tcW w:w="1524" w:type="pct"/>
            <w:gridSpan w:val="2"/>
          </w:tcPr>
          <w:p w:rsidR="00402676" w:rsidRPr="00CE6030" w:rsidRDefault="00402676" w:rsidP="00CE6030">
            <w:pPr>
              <w:tabs>
                <w:tab w:val="left" w:pos="2002"/>
              </w:tabs>
              <w:spacing w:after="0" w:line="240" w:lineRule="auto"/>
              <w:jc w:val="center"/>
              <w:rPr>
                <w:b/>
                <w:bCs/>
                <w:sz w:val="20"/>
                <w:szCs w:val="20"/>
              </w:rPr>
            </w:pPr>
            <w:r w:rsidRPr="00CE6030">
              <w:rPr>
                <w:b/>
                <w:bCs/>
                <w:sz w:val="20"/>
                <w:szCs w:val="20"/>
              </w:rPr>
              <w:t>1</w:t>
            </w:r>
            <w:r w:rsidRPr="00CE6030">
              <w:rPr>
                <w:b/>
                <w:bCs/>
                <w:sz w:val="20"/>
                <w:szCs w:val="20"/>
                <w:vertAlign w:val="superscript"/>
              </w:rPr>
              <w:t>re</w:t>
            </w:r>
            <w:r w:rsidRPr="00CE6030">
              <w:rPr>
                <w:b/>
                <w:bCs/>
                <w:sz w:val="20"/>
                <w:szCs w:val="20"/>
              </w:rPr>
              <w:t xml:space="preserve"> étape (20 %)</w:t>
            </w:r>
          </w:p>
          <w:p w:rsidR="00402676" w:rsidRPr="00CE6030" w:rsidRDefault="0091070D" w:rsidP="00CE6030">
            <w:pPr>
              <w:spacing w:after="0" w:line="240" w:lineRule="auto"/>
              <w:jc w:val="center"/>
              <w:rPr>
                <w:sz w:val="20"/>
                <w:szCs w:val="20"/>
              </w:rPr>
            </w:pPr>
            <w:r>
              <w:rPr>
                <w:b/>
                <w:bCs/>
                <w:sz w:val="20"/>
                <w:szCs w:val="20"/>
                <w:highlight w:val="yellow"/>
              </w:rPr>
              <w:t>Du 30</w:t>
            </w:r>
            <w:r w:rsidR="00402676" w:rsidRPr="00CE6030">
              <w:rPr>
                <w:b/>
                <w:bCs/>
                <w:sz w:val="20"/>
                <w:szCs w:val="20"/>
                <w:highlight w:val="yellow"/>
              </w:rPr>
              <w:t xml:space="preserve"> août au </w:t>
            </w:r>
            <w:r w:rsidR="001656E4">
              <w:rPr>
                <w:b/>
                <w:bCs/>
                <w:sz w:val="20"/>
                <w:szCs w:val="20"/>
              </w:rPr>
              <w:t xml:space="preserve"> </w:t>
            </w:r>
            <w:r>
              <w:rPr>
                <w:b/>
                <w:bCs/>
                <w:sz w:val="20"/>
                <w:szCs w:val="20"/>
              </w:rPr>
              <w:t>8</w:t>
            </w:r>
            <w:r w:rsidR="00C10FB1">
              <w:rPr>
                <w:b/>
                <w:bCs/>
                <w:sz w:val="20"/>
                <w:szCs w:val="20"/>
              </w:rPr>
              <w:t xml:space="preserve"> </w:t>
            </w:r>
            <w:r w:rsidR="001656E4">
              <w:rPr>
                <w:b/>
                <w:bCs/>
                <w:sz w:val="20"/>
                <w:szCs w:val="20"/>
              </w:rPr>
              <w:t>novembre</w:t>
            </w:r>
          </w:p>
        </w:tc>
        <w:tc>
          <w:tcPr>
            <w:tcW w:w="1539" w:type="pct"/>
            <w:gridSpan w:val="2"/>
          </w:tcPr>
          <w:p w:rsidR="00402676" w:rsidRPr="00CE6030" w:rsidRDefault="00402676" w:rsidP="00CE6030">
            <w:pPr>
              <w:tabs>
                <w:tab w:val="left" w:pos="2002"/>
              </w:tabs>
              <w:spacing w:after="0" w:line="240" w:lineRule="auto"/>
              <w:jc w:val="center"/>
              <w:rPr>
                <w:b/>
                <w:bCs/>
                <w:sz w:val="20"/>
                <w:szCs w:val="20"/>
              </w:rPr>
            </w:pPr>
            <w:r w:rsidRPr="00CE6030">
              <w:rPr>
                <w:b/>
                <w:bCs/>
                <w:sz w:val="20"/>
                <w:szCs w:val="20"/>
              </w:rPr>
              <w:t>2</w:t>
            </w:r>
            <w:r w:rsidRPr="00CE6030">
              <w:rPr>
                <w:b/>
                <w:bCs/>
                <w:sz w:val="20"/>
                <w:szCs w:val="20"/>
                <w:vertAlign w:val="superscript"/>
              </w:rPr>
              <w:t>e</w:t>
            </w:r>
            <w:r w:rsidRPr="00CE6030">
              <w:rPr>
                <w:b/>
                <w:bCs/>
                <w:sz w:val="20"/>
                <w:szCs w:val="20"/>
              </w:rPr>
              <w:t xml:space="preserve"> étape (20 %)</w:t>
            </w:r>
          </w:p>
          <w:p w:rsidR="00402676" w:rsidRPr="00CE6030" w:rsidRDefault="00402676" w:rsidP="002F187C">
            <w:pPr>
              <w:spacing w:after="0" w:line="240" w:lineRule="auto"/>
              <w:jc w:val="center"/>
              <w:rPr>
                <w:sz w:val="20"/>
                <w:szCs w:val="20"/>
              </w:rPr>
            </w:pPr>
            <w:r>
              <w:rPr>
                <w:b/>
                <w:bCs/>
                <w:sz w:val="20"/>
                <w:szCs w:val="20"/>
                <w:highlight w:val="yellow"/>
              </w:rPr>
              <w:t>Du</w:t>
            </w:r>
            <w:r w:rsidR="0091070D">
              <w:rPr>
                <w:b/>
                <w:bCs/>
                <w:sz w:val="20"/>
                <w:szCs w:val="20"/>
                <w:highlight w:val="yellow"/>
              </w:rPr>
              <w:t xml:space="preserve"> 11</w:t>
            </w:r>
            <w:r w:rsidR="00C10FB1">
              <w:rPr>
                <w:b/>
                <w:bCs/>
                <w:sz w:val="20"/>
                <w:szCs w:val="20"/>
                <w:highlight w:val="yellow"/>
              </w:rPr>
              <w:t xml:space="preserve"> </w:t>
            </w:r>
            <w:r w:rsidR="001656E4">
              <w:rPr>
                <w:b/>
                <w:bCs/>
                <w:sz w:val="20"/>
                <w:szCs w:val="20"/>
                <w:highlight w:val="yellow"/>
              </w:rPr>
              <w:t>novembre au</w:t>
            </w:r>
            <w:r w:rsidR="006F3813">
              <w:rPr>
                <w:b/>
                <w:bCs/>
                <w:sz w:val="20"/>
                <w:szCs w:val="20"/>
                <w:highlight w:val="yellow"/>
              </w:rPr>
              <w:t xml:space="preserve"> </w:t>
            </w:r>
            <w:r w:rsidR="002F187C">
              <w:rPr>
                <w:b/>
                <w:bCs/>
                <w:sz w:val="20"/>
                <w:szCs w:val="20"/>
                <w:highlight w:val="yellow"/>
              </w:rPr>
              <w:t xml:space="preserve"> </w:t>
            </w:r>
            <w:r w:rsidR="0091070D">
              <w:rPr>
                <w:b/>
                <w:bCs/>
                <w:sz w:val="20"/>
                <w:szCs w:val="20"/>
              </w:rPr>
              <w:t xml:space="preserve">7 </w:t>
            </w:r>
            <w:r w:rsidR="006F3813">
              <w:rPr>
                <w:b/>
                <w:bCs/>
                <w:sz w:val="20"/>
                <w:szCs w:val="20"/>
              </w:rPr>
              <w:t>février</w:t>
            </w:r>
          </w:p>
        </w:tc>
        <w:tc>
          <w:tcPr>
            <w:tcW w:w="1938" w:type="pct"/>
            <w:gridSpan w:val="3"/>
          </w:tcPr>
          <w:p w:rsidR="00402676" w:rsidRPr="00CE6030" w:rsidRDefault="00402676" w:rsidP="00CE6030">
            <w:pPr>
              <w:tabs>
                <w:tab w:val="left" w:pos="2002"/>
              </w:tabs>
              <w:spacing w:after="0" w:line="240" w:lineRule="auto"/>
              <w:jc w:val="center"/>
              <w:rPr>
                <w:b/>
                <w:bCs/>
                <w:sz w:val="20"/>
                <w:szCs w:val="20"/>
              </w:rPr>
            </w:pPr>
            <w:r w:rsidRPr="00CE6030">
              <w:rPr>
                <w:b/>
                <w:bCs/>
                <w:sz w:val="20"/>
                <w:szCs w:val="20"/>
              </w:rPr>
              <w:t>3</w:t>
            </w:r>
            <w:r w:rsidRPr="00CE6030">
              <w:rPr>
                <w:b/>
                <w:bCs/>
                <w:sz w:val="20"/>
                <w:szCs w:val="20"/>
                <w:vertAlign w:val="superscript"/>
              </w:rPr>
              <w:t>e</w:t>
            </w:r>
            <w:r w:rsidRPr="00CE6030">
              <w:rPr>
                <w:b/>
                <w:bCs/>
                <w:sz w:val="20"/>
                <w:szCs w:val="20"/>
              </w:rPr>
              <w:t xml:space="preserve"> étape (60 %)</w:t>
            </w:r>
          </w:p>
          <w:p w:rsidR="00402676" w:rsidRPr="00CE6030" w:rsidRDefault="0091070D" w:rsidP="00CE6030">
            <w:pPr>
              <w:spacing w:after="0" w:line="240" w:lineRule="auto"/>
              <w:jc w:val="center"/>
              <w:rPr>
                <w:sz w:val="20"/>
                <w:szCs w:val="20"/>
              </w:rPr>
            </w:pPr>
            <w:r>
              <w:rPr>
                <w:b/>
                <w:bCs/>
                <w:sz w:val="20"/>
                <w:szCs w:val="20"/>
                <w:highlight w:val="yellow"/>
              </w:rPr>
              <w:t>Du 10</w:t>
            </w:r>
            <w:r w:rsidR="006F3813">
              <w:rPr>
                <w:b/>
                <w:bCs/>
                <w:sz w:val="20"/>
                <w:szCs w:val="20"/>
                <w:highlight w:val="yellow"/>
              </w:rPr>
              <w:t xml:space="preserve"> févr</w:t>
            </w:r>
            <w:r>
              <w:rPr>
                <w:b/>
                <w:bCs/>
                <w:sz w:val="20"/>
                <w:szCs w:val="20"/>
                <w:highlight w:val="yellow"/>
              </w:rPr>
              <w:t>ier au 19</w:t>
            </w:r>
            <w:r w:rsidR="00402676" w:rsidRPr="00CE6030">
              <w:rPr>
                <w:b/>
                <w:bCs/>
                <w:sz w:val="20"/>
                <w:szCs w:val="20"/>
                <w:highlight w:val="yellow"/>
              </w:rPr>
              <w:t xml:space="preserve"> juin</w:t>
            </w:r>
          </w:p>
        </w:tc>
      </w:tr>
      <w:tr w:rsidR="00402676">
        <w:trPr>
          <w:trHeight w:val="586"/>
        </w:trPr>
        <w:tc>
          <w:tcPr>
            <w:tcW w:w="961" w:type="pct"/>
          </w:tcPr>
          <w:p w:rsidR="00402676" w:rsidRPr="00CE6030" w:rsidRDefault="00402676" w:rsidP="00CE6030">
            <w:pPr>
              <w:tabs>
                <w:tab w:val="left" w:pos="2002"/>
              </w:tabs>
              <w:spacing w:after="0" w:line="240" w:lineRule="auto"/>
              <w:jc w:val="center"/>
              <w:rPr>
                <w:b/>
                <w:bCs/>
                <w:sz w:val="16"/>
                <w:szCs w:val="16"/>
              </w:rPr>
            </w:pPr>
            <w:r w:rsidRPr="00CE6030">
              <w:rPr>
                <w:b/>
                <w:bCs/>
                <w:sz w:val="16"/>
                <w:szCs w:val="16"/>
              </w:rPr>
              <w:t>Nature des évaluations proposées tout au long de l’étape</w:t>
            </w:r>
          </w:p>
        </w:tc>
        <w:tc>
          <w:tcPr>
            <w:tcW w:w="562" w:type="pct"/>
          </w:tcPr>
          <w:p w:rsidR="00402676" w:rsidRPr="00CE6030" w:rsidRDefault="00402676" w:rsidP="00CE6030">
            <w:pPr>
              <w:tabs>
                <w:tab w:val="left" w:pos="2002"/>
              </w:tabs>
              <w:spacing w:after="0" w:line="240" w:lineRule="auto"/>
              <w:jc w:val="center"/>
              <w:rPr>
                <w:b/>
                <w:bCs/>
                <w:sz w:val="16"/>
                <w:szCs w:val="16"/>
              </w:rPr>
            </w:pPr>
            <w:r w:rsidRPr="00CE6030">
              <w:rPr>
                <w:b/>
                <w:bCs/>
                <w:sz w:val="16"/>
                <w:szCs w:val="16"/>
              </w:rPr>
              <w:t>Y aura-t-il un résultat inscrit au bulletin?</w:t>
            </w:r>
          </w:p>
        </w:tc>
        <w:tc>
          <w:tcPr>
            <w:tcW w:w="976" w:type="pct"/>
          </w:tcPr>
          <w:p w:rsidR="00402676" w:rsidRPr="00CE6030" w:rsidRDefault="00402676" w:rsidP="00CE6030">
            <w:pPr>
              <w:tabs>
                <w:tab w:val="left" w:pos="2002"/>
              </w:tabs>
              <w:spacing w:after="0" w:line="240" w:lineRule="auto"/>
              <w:jc w:val="center"/>
              <w:rPr>
                <w:b/>
                <w:bCs/>
                <w:sz w:val="16"/>
                <w:szCs w:val="16"/>
              </w:rPr>
            </w:pPr>
            <w:r w:rsidRPr="00CE6030">
              <w:rPr>
                <w:b/>
                <w:bCs/>
                <w:sz w:val="16"/>
                <w:szCs w:val="16"/>
              </w:rPr>
              <w:t>Nature des évaluations proposées tout au long de l’étape</w:t>
            </w:r>
          </w:p>
        </w:tc>
        <w:tc>
          <w:tcPr>
            <w:tcW w:w="562" w:type="pct"/>
          </w:tcPr>
          <w:p w:rsidR="00402676" w:rsidRPr="00CE6030" w:rsidRDefault="00402676" w:rsidP="00CE6030">
            <w:pPr>
              <w:tabs>
                <w:tab w:val="left" w:pos="2002"/>
              </w:tabs>
              <w:spacing w:after="0" w:line="240" w:lineRule="auto"/>
              <w:jc w:val="center"/>
              <w:rPr>
                <w:b/>
                <w:bCs/>
                <w:sz w:val="16"/>
                <w:szCs w:val="16"/>
              </w:rPr>
            </w:pPr>
            <w:r w:rsidRPr="00CE6030">
              <w:rPr>
                <w:b/>
                <w:bCs/>
                <w:sz w:val="16"/>
                <w:szCs w:val="16"/>
              </w:rPr>
              <w:t>Y aura-t-il un résultat inscrit au bulletin?</w:t>
            </w:r>
          </w:p>
        </w:tc>
        <w:tc>
          <w:tcPr>
            <w:tcW w:w="1104" w:type="pct"/>
          </w:tcPr>
          <w:p w:rsidR="00402676" w:rsidRPr="00CE6030" w:rsidRDefault="00402676" w:rsidP="00CE6030">
            <w:pPr>
              <w:tabs>
                <w:tab w:val="left" w:pos="2002"/>
              </w:tabs>
              <w:spacing w:after="0" w:line="240" w:lineRule="auto"/>
              <w:jc w:val="center"/>
              <w:rPr>
                <w:b/>
                <w:bCs/>
                <w:sz w:val="16"/>
                <w:szCs w:val="16"/>
              </w:rPr>
            </w:pPr>
            <w:r w:rsidRPr="00CE6030">
              <w:rPr>
                <w:b/>
                <w:bCs/>
                <w:sz w:val="16"/>
                <w:szCs w:val="16"/>
              </w:rPr>
              <w:t>Nature des évaluations proposées tout au long de l’étape</w:t>
            </w:r>
          </w:p>
        </w:tc>
        <w:tc>
          <w:tcPr>
            <w:tcW w:w="449" w:type="pct"/>
            <w:tcBorders>
              <w:bottom w:val="single" w:sz="4" w:space="0" w:color="auto"/>
            </w:tcBorders>
          </w:tcPr>
          <w:p w:rsidR="00402676" w:rsidRPr="00CE6030" w:rsidRDefault="00402676" w:rsidP="00CE6030">
            <w:pPr>
              <w:tabs>
                <w:tab w:val="left" w:pos="2002"/>
              </w:tabs>
              <w:spacing w:after="0" w:line="240" w:lineRule="auto"/>
              <w:jc w:val="center"/>
              <w:rPr>
                <w:b/>
                <w:bCs/>
                <w:sz w:val="14"/>
                <w:szCs w:val="14"/>
              </w:rPr>
            </w:pPr>
            <w:r w:rsidRPr="00CE6030">
              <w:rPr>
                <w:b/>
                <w:bCs/>
                <w:sz w:val="14"/>
                <w:szCs w:val="14"/>
              </w:rPr>
              <w:t xml:space="preserve">Épreuves obligatoires </w:t>
            </w:r>
          </w:p>
          <w:p w:rsidR="00402676" w:rsidRPr="00CE6030" w:rsidRDefault="00402676" w:rsidP="00CE6030">
            <w:pPr>
              <w:tabs>
                <w:tab w:val="left" w:pos="2002"/>
              </w:tabs>
              <w:spacing w:after="0" w:line="240" w:lineRule="auto"/>
              <w:jc w:val="center"/>
              <w:rPr>
                <w:b/>
                <w:bCs/>
                <w:sz w:val="16"/>
                <w:szCs w:val="16"/>
              </w:rPr>
            </w:pPr>
            <w:r w:rsidRPr="00CE6030">
              <w:rPr>
                <w:b/>
                <w:bCs/>
                <w:sz w:val="14"/>
                <w:szCs w:val="14"/>
              </w:rPr>
              <w:t>MELS / CS</w:t>
            </w:r>
          </w:p>
        </w:tc>
        <w:tc>
          <w:tcPr>
            <w:tcW w:w="384" w:type="pct"/>
          </w:tcPr>
          <w:p w:rsidR="00402676" w:rsidRPr="00CE6030" w:rsidRDefault="00402676" w:rsidP="00CE6030">
            <w:pPr>
              <w:tabs>
                <w:tab w:val="left" w:pos="2002"/>
              </w:tabs>
              <w:spacing w:after="0" w:line="240" w:lineRule="auto"/>
              <w:jc w:val="center"/>
              <w:rPr>
                <w:b/>
                <w:bCs/>
                <w:sz w:val="16"/>
                <w:szCs w:val="16"/>
              </w:rPr>
            </w:pPr>
            <w:r w:rsidRPr="00CE6030">
              <w:rPr>
                <w:b/>
                <w:bCs/>
                <w:sz w:val="16"/>
                <w:szCs w:val="16"/>
              </w:rPr>
              <w:t>Résultat inscrit au bulletin</w:t>
            </w:r>
          </w:p>
        </w:tc>
      </w:tr>
      <w:tr w:rsidR="00402676">
        <w:trPr>
          <w:trHeight w:val="1049"/>
        </w:trPr>
        <w:tc>
          <w:tcPr>
            <w:tcW w:w="961" w:type="pct"/>
            <w:tcBorders>
              <w:bottom w:val="single" w:sz="4" w:space="0" w:color="auto"/>
            </w:tcBorders>
          </w:tcPr>
          <w:p w:rsidR="00402676" w:rsidRPr="00CE6030" w:rsidRDefault="00402676" w:rsidP="00CE6030">
            <w:pPr>
              <w:spacing w:after="0" w:line="240" w:lineRule="auto"/>
              <w:rPr>
                <w:b/>
                <w:bCs/>
                <w:sz w:val="16"/>
                <w:szCs w:val="16"/>
              </w:rPr>
            </w:pPr>
            <w:r w:rsidRPr="00CE6030">
              <w:rPr>
                <w:b/>
                <w:bCs/>
                <w:sz w:val="16"/>
                <w:szCs w:val="16"/>
              </w:rPr>
              <w:t>Résoudre  une situation-problème :</w:t>
            </w:r>
          </w:p>
          <w:p w:rsidR="00402676" w:rsidRPr="00CE6030" w:rsidRDefault="00402676" w:rsidP="00CE6030">
            <w:pPr>
              <w:spacing w:after="0" w:line="240" w:lineRule="auto"/>
              <w:rPr>
                <w:sz w:val="16"/>
                <w:szCs w:val="16"/>
                <w:highlight w:val="yellow"/>
              </w:rPr>
            </w:pPr>
          </w:p>
          <w:p w:rsidR="00402676" w:rsidRPr="00CE6030" w:rsidRDefault="00402676" w:rsidP="00CE6030">
            <w:pPr>
              <w:spacing w:after="0" w:line="240" w:lineRule="auto"/>
              <w:rPr>
                <w:sz w:val="16"/>
                <w:szCs w:val="16"/>
              </w:rPr>
            </w:pPr>
            <w:r w:rsidRPr="00CE6030">
              <w:rPr>
                <w:sz w:val="16"/>
                <w:szCs w:val="16"/>
              </w:rPr>
              <w:t>Situations d’apprentissage et d’évaluation</w:t>
            </w:r>
          </w:p>
          <w:p w:rsidR="00402676" w:rsidRPr="00CE6030" w:rsidRDefault="00402676" w:rsidP="00CE6030">
            <w:pPr>
              <w:spacing w:after="0" w:line="240" w:lineRule="auto"/>
              <w:rPr>
                <w:sz w:val="16"/>
                <w:szCs w:val="16"/>
                <w:highlight w:val="yellow"/>
              </w:rPr>
            </w:pPr>
          </w:p>
          <w:p w:rsidR="00402676" w:rsidRPr="00CE6030" w:rsidRDefault="00402676" w:rsidP="00CE6030">
            <w:pPr>
              <w:spacing w:after="0" w:line="240" w:lineRule="auto"/>
              <w:rPr>
                <w:sz w:val="16"/>
                <w:szCs w:val="16"/>
                <w:highlight w:val="yellow"/>
              </w:rPr>
            </w:pPr>
          </w:p>
        </w:tc>
        <w:tc>
          <w:tcPr>
            <w:tcW w:w="562" w:type="pct"/>
            <w:tcBorders>
              <w:bottom w:val="single" w:sz="4" w:space="0" w:color="auto"/>
            </w:tcBorders>
          </w:tcPr>
          <w:p w:rsidR="00402676" w:rsidRPr="00CE6030" w:rsidRDefault="00C10FB1" w:rsidP="00534BF6">
            <w:pPr>
              <w:tabs>
                <w:tab w:val="left" w:pos="2002"/>
              </w:tabs>
              <w:spacing w:after="0" w:line="240" w:lineRule="auto"/>
              <w:rPr>
                <w:b/>
                <w:bCs/>
                <w:sz w:val="24"/>
                <w:szCs w:val="24"/>
                <w:highlight w:val="yellow"/>
              </w:rPr>
            </w:pPr>
            <w:r>
              <w:rPr>
                <w:b/>
                <w:bCs/>
                <w:sz w:val="24"/>
                <w:szCs w:val="24"/>
                <w:highlight w:val="yellow"/>
              </w:rPr>
              <w:t xml:space="preserve">     non</w:t>
            </w:r>
          </w:p>
        </w:tc>
        <w:tc>
          <w:tcPr>
            <w:tcW w:w="976" w:type="pct"/>
          </w:tcPr>
          <w:p w:rsidR="00402676" w:rsidRPr="00CE6030" w:rsidRDefault="00402676" w:rsidP="00CE6030">
            <w:pPr>
              <w:spacing w:after="0" w:line="240" w:lineRule="auto"/>
              <w:rPr>
                <w:b/>
                <w:bCs/>
                <w:sz w:val="16"/>
                <w:szCs w:val="16"/>
              </w:rPr>
            </w:pPr>
            <w:r w:rsidRPr="00CE6030">
              <w:rPr>
                <w:b/>
                <w:bCs/>
                <w:sz w:val="16"/>
                <w:szCs w:val="16"/>
              </w:rPr>
              <w:t>Résoudre  une situation-problème :</w:t>
            </w:r>
          </w:p>
          <w:p w:rsidR="00402676" w:rsidRPr="00CE6030" w:rsidRDefault="00402676" w:rsidP="00CE6030">
            <w:pPr>
              <w:spacing w:after="0" w:line="240" w:lineRule="auto"/>
              <w:rPr>
                <w:sz w:val="16"/>
                <w:szCs w:val="16"/>
                <w:highlight w:val="yellow"/>
              </w:rPr>
            </w:pPr>
          </w:p>
          <w:p w:rsidR="00402676" w:rsidRPr="00CE6030" w:rsidRDefault="00402676" w:rsidP="00CE6030">
            <w:pPr>
              <w:spacing w:after="0" w:line="240" w:lineRule="auto"/>
              <w:rPr>
                <w:sz w:val="16"/>
                <w:szCs w:val="16"/>
              </w:rPr>
            </w:pPr>
            <w:r w:rsidRPr="00CE6030">
              <w:rPr>
                <w:sz w:val="16"/>
                <w:szCs w:val="16"/>
              </w:rPr>
              <w:t>Situations d’apprentissage et d’évaluation</w:t>
            </w:r>
          </w:p>
          <w:p w:rsidR="00402676" w:rsidRPr="00CE6030" w:rsidRDefault="00402676" w:rsidP="00CE6030">
            <w:pPr>
              <w:spacing w:after="0" w:line="240" w:lineRule="auto"/>
              <w:rPr>
                <w:sz w:val="16"/>
                <w:szCs w:val="16"/>
                <w:highlight w:val="yellow"/>
              </w:rPr>
            </w:pPr>
          </w:p>
        </w:tc>
        <w:tc>
          <w:tcPr>
            <w:tcW w:w="562" w:type="pct"/>
            <w:tcBorders>
              <w:bottom w:val="single" w:sz="4" w:space="0" w:color="auto"/>
            </w:tcBorders>
          </w:tcPr>
          <w:p w:rsidR="00402676" w:rsidRPr="00CE6030" w:rsidRDefault="00402676" w:rsidP="00CE6030">
            <w:pPr>
              <w:tabs>
                <w:tab w:val="left" w:pos="2002"/>
              </w:tabs>
              <w:spacing w:after="0" w:line="240" w:lineRule="auto"/>
              <w:jc w:val="center"/>
              <w:rPr>
                <w:b/>
                <w:bCs/>
                <w:sz w:val="24"/>
                <w:szCs w:val="24"/>
                <w:highlight w:val="yellow"/>
              </w:rPr>
            </w:pPr>
            <w:r w:rsidRPr="00CE6030">
              <w:rPr>
                <w:b/>
                <w:bCs/>
                <w:sz w:val="24"/>
                <w:szCs w:val="24"/>
                <w:highlight w:val="yellow"/>
              </w:rPr>
              <w:t>Oui</w:t>
            </w:r>
          </w:p>
        </w:tc>
        <w:tc>
          <w:tcPr>
            <w:tcW w:w="1104" w:type="pct"/>
            <w:tcBorders>
              <w:bottom w:val="single" w:sz="4" w:space="0" w:color="auto"/>
              <w:right w:val="single" w:sz="4" w:space="0" w:color="auto"/>
            </w:tcBorders>
          </w:tcPr>
          <w:p w:rsidR="00402676" w:rsidRPr="00CE6030" w:rsidRDefault="00402676" w:rsidP="00CE6030">
            <w:pPr>
              <w:spacing w:after="0" w:line="240" w:lineRule="auto"/>
              <w:rPr>
                <w:b/>
                <w:bCs/>
                <w:sz w:val="16"/>
                <w:szCs w:val="16"/>
              </w:rPr>
            </w:pPr>
            <w:r w:rsidRPr="00CE6030">
              <w:rPr>
                <w:b/>
                <w:bCs/>
                <w:sz w:val="16"/>
                <w:szCs w:val="16"/>
              </w:rPr>
              <w:t>Résoudre  une situation-problème :</w:t>
            </w:r>
          </w:p>
          <w:p w:rsidR="00402676" w:rsidRPr="00CE6030" w:rsidRDefault="00402676" w:rsidP="00CE6030">
            <w:pPr>
              <w:spacing w:after="0" w:line="240" w:lineRule="auto"/>
              <w:rPr>
                <w:sz w:val="16"/>
                <w:szCs w:val="16"/>
                <w:highlight w:val="yellow"/>
              </w:rPr>
            </w:pPr>
          </w:p>
          <w:p w:rsidR="00402676" w:rsidRPr="00CE6030" w:rsidRDefault="00402676" w:rsidP="00CE6030">
            <w:pPr>
              <w:spacing w:after="0" w:line="240" w:lineRule="auto"/>
              <w:rPr>
                <w:sz w:val="16"/>
                <w:szCs w:val="16"/>
              </w:rPr>
            </w:pPr>
            <w:r w:rsidRPr="00CE6030">
              <w:rPr>
                <w:sz w:val="16"/>
                <w:szCs w:val="16"/>
              </w:rPr>
              <w:t>Situations d’apprentissage et d’évaluation</w:t>
            </w:r>
          </w:p>
          <w:p w:rsidR="00402676" w:rsidRPr="00CE6030" w:rsidRDefault="00402676" w:rsidP="00CE6030">
            <w:pPr>
              <w:spacing w:after="0" w:line="240" w:lineRule="auto"/>
              <w:rPr>
                <w:sz w:val="16"/>
                <w:szCs w:val="16"/>
              </w:rPr>
            </w:pPr>
          </w:p>
          <w:p w:rsidR="00402676" w:rsidRPr="00CE6030" w:rsidRDefault="00402676" w:rsidP="00CE6030">
            <w:pPr>
              <w:spacing w:after="0" w:line="240" w:lineRule="auto"/>
              <w:rPr>
                <w:sz w:val="16"/>
                <w:szCs w:val="16"/>
                <w:highlight w:val="yellow"/>
              </w:rPr>
            </w:pPr>
          </w:p>
        </w:tc>
        <w:tc>
          <w:tcPr>
            <w:tcW w:w="449" w:type="pct"/>
            <w:tcBorders>
              <w:top w:val="single" w:sz="4" w:space="0" w:color="auto"/>
              <w:left w:val="single" w:sz="4" w:space="0" w:color="auto"/>
              <w:bottom w:val="single" w:sz="4" w:space="0" w:color="auto"/>
            </w:tcBorders>
          </w:tcPr>
          <w:p w:rsidR="00402676" w:rsidRPr="00CE6030" w:rsidRDefault="00402676" w:rsidP="00CE6030">
            <w:pPr>
              <w:spacing w:after="0" w:line="240" w:lineRule="auto"/>
              <w:jc w:val="center"/>
              <w:rPr>
                <w:b/>
                <w:bCs/>
                <w:sz w:val="24"/>
                <w:szCs w:val="24"/>
              </w:rPr>
            </w:pPr>
            <w:r w:rsidRPr="00CE6030">
              <w:rPr>
                <w:b/>
                <w:bCs/>
                <w:sz w:val="24"/>
                <w:szCs w:val="24"/>
              </w:rPr>
              <w:t>Oui</w:t>
            </w:r>
          </w:p>
          <w:p w:rsidR="00402676" w:rsidRPr="00CE6030" w:rsidRDefault="00402676" w:rsidP="00CE6030">
            <w:pPr>
              <w:spacing w:after="0" w:line="240" w:lineRule="auto"/>
              <w:jc w:val="center"/>
              <w:rPr>
                <w:b/>
                <w:bCs/>
                <w:sz w:val="24"/>
                <w:szCs w:val="24"/>
              </w:rPr>
            </w:pPr>
            <w:r w:rsidRPr="00CE6030">
              <w:rPr>
                <w:b/>
                <w:bCs/>
                <w:sz w:val="16"/>
                <w:szCs w:val="16"/>
              </w:rPr>
              <w:t xml:space="preserve">CS </w:t>
            </w:r>
          </w:p>
        </w:tc>
        <w:tc>
          <w:tcPr>
            <w:tcW w:w="384" w:type="pct"/>
            <w:tcBorders>
              <w:bottom w:val="single" w:sz="4" w:space="0" w:color="auto"/>
            </w:tcBorders>
          </w:tcPr>
          <w:p w:rsidR="00402676" w:rsidRPr="00CE6030" w:rsidRDefault="00402676" w:rsidP="00CE6030">
            <w:pPr>
              <w:tabs>
                <w:tab w:val="left" w:pos="2002"/>
              </w:tabs>
              <w:spacing w:after="0" w:line="240" w:lineRule="auto"/>
              <w:jc w:val="center"/>
              <w:rPr>
                <w:b/>
                <w:bCs/>
                <w:sz w:val="24"/>
                <w:szCs w:val="24"/>
              </w:rPr>
            </w:pPr>
            <w:r w:rsidRPr="00CE6030">
              <w:rPr>
                <w:b/>
                <w:bCs/>
                <w:sz w:val="24"/>
                <w:szCs w:val="24"/>
              </w:rPr>
              <w:t>Oui</w:t>
            </w:r>
          </w:p>
        </w:tc>
      </w:tr>
      <w:tr w:rsidR="00402676">
        <w:trPr>
          <w:trHeight w:val="2510"/>
        </w:trPr>
        <w:tc>
          <w:tcPr>
            <w:tcW w:w="961" w:type="pct"/>
            <w:tcBorders>
              <w:top w:val="single" w:sz="4" w:space="0" w:color="auto"/>
              <w:bottom w:val="single" w:sz="4" w:space="0" w:color="auto"/>
            </w:tcBorders>
          </w:tcPr>
          <w:p w:rsidR="00402676" w:rsidRPr="00CE6030" w:rsidRDefault="00402676" w:rsidP="00CE6030">
            <w:pPr>
              <w:spacing w:after="0" w:line="240" w:lineRule="auto"/>
              <w:rPr>
                <w:b/>
                <w:bCs/>
                <w:sz w:val="16"/>
                <w:szCs w:val="16"/>
              </w:rPr>
            </w:pPr>
            <w:r w:rsidRPr="00CE6030">
              <w:rPr>
                <w:b/>
                <w:bCs/>
                <w:sz w:val="16"/>
                <w:szCs w:val="16"/>
              </w:rPr>
              <w:t>Utiliser un raisonnement mathématique :</w:t>
            </w:r>
          </w:p>
          <w:p w:rsidR="00402676" w:rsidRPr="00CE6030" w:rsidRDefault="00402676" w:rsidP="00CE6030">
            <w:pPr>
              <w:spacing w:after="0" w:line="240" w:lineRule="auto"/>
              <w:rPr>
                <w:sz w:val="16"/>
                <w:szCs w:val="16"/>
                <w:highlight w:val="yellow"/>
              </w:rPr>
            </w:pPr>
          </w:p>
          <w:p w:rsidR="00402676" w:rsidRPr="00CE6030" w:rsidRDefault="00402676" w:rsidP="00CE6030">
            <w:pPr>
              <w:spacing w:after="0" w:line="240" w:lineRule="auto"/>
              <w:rPr>
                <w:sz w:val="16"/>
                <w:szCs w:val="16"/>
                <w:highlight w:val="yellow"/>
              </w:rPr>
            </w:pPr>
            <w:r w:rsidRPr="00CE6030">
              <w:rPr>
                <w:sz w:val="16"/>
                <w:szCs w:val="16"/>
                <w:highlight w:val="yellow"/>
              </w:rPr>
              <w:t xml:space="preserve">Situations d’apprentissage et d’évaluation </w:t>
            </w:r>
          </w:p>
          <w:p w:rsidR="00402676" w:rsidRPr="00CE6030" w:rsidRDefault="00402676" w:rsidP="00CE6030">
            <w:pPr>
              <w:spacing w:after="0" w:line="240" w:lineRule="auto"/>
              <w:rPr>
                <w:sz w:val="16"/>
                <w:szCs w:val="16"/>
                <w:highlight w:val="yellow"/>
              </w:rPr>
            </w:pPr>
          </w:p>
          <w:p w:rsidR="00402676" w:rsidRPr="00CE6030" w:rsidRDefault="00402676" w:rsidP="00CE6030">
            <w:pPr>
              <w:spacing w:after="0" w:line="240" w:lineRule="auto"/>
              <w:rPr>
                <w:sz w:val="16"/>
                <w:szCs w:val="16"/>
              </w:rPr>
            </w:pPr>
            <w:r w:rsidRPr="00CE6030">
              <w:rPr>
                <w:sz w:val="16"/>
                <w:szCs w:val="16"/>
                <w:highlight w:val="yellow"/>
              </w:rPr>
              <w:t>Tests de connaissances</w:t>
            </w:r>
          </w:p>
        </w:tc>
        <w:tc>
          <w:tcPr>
            <w:tcW w:w="562" w:type="pct"/>
            <w:tcBorders>
              <w:top w:val="single" w:sz="4" w:space="0" w:color="auto"/>
              <w:bottom w:val="single" w:sz="4" w:space="0" w:color="auto"/>
            </w:tcBorders>
          </w:tcPr>
          <w:p w:rsidR="00402676" w:rsidRPr="00CE6030" w:rsidRDefault="00402676" w:rsidP="00CE6030">
            <w:pPr>
              <w:tabs>
                <w:tab w:val="left" w:pos="2002"/>
              </w:tabs>
              <w:spacing w:after="0" w:line="240" w:lineRule="auto"/>
              <w:jc w:val="center"/>
              <w:rPr>
                <w:b/>
                <w:bCs/>
                <w:sz w:val="24"/>
                <w:szCs w:val="24"/>
                <w:highlight w:val="yellow"/>
              </w:rPr>
            </w:pPr>
          </w:p>
          <w:p w:rsidR="00402676" w:rsidRPr="00CE6030" w:rsidRDefault="00402676" w:rsidP="00CE6030">
            <w:pPr>
              <w:tabs>
                <w:tab w:val="left" w:pos="2002"/>
              </w:tabs>
              <w:spacing w:after="0" w:line="240" w:lineRule="auto"/>
              <w:jc w:val="center"/>
              <w:rPr>
                <w:b/>
                <w:bCs/>
                <w:sz w:val="24"/>
                <w:szCs w:val="24"/>
                <w:highlight w:val="yellow"/>
              </w:rPr>
            </w:pPr>
            <w:r w:rsidRPr="00CE6030">
              <w:rPr>
                <w:b/>
                <w:bCs/>
                <w:sz w:val="24"/>
                <w:szCs w:val="24"/>
                <w:highlight w:val="yellow"/>
              </w:rPr>
              <w:t>Oui</w:t>
            </w:r>
          </w:p>
        </w:tc>
        <w:tc>
          <w:tcPr>
            <w:tcW w:w="976" w:type="pct"/>
            <w:tcBorders>
              <w:bottom w:val="single" w:sz="4" w:space="0" w:color="auto"/>
            </w:tcBorders>
          </w:tcPr>
          <w:p w:rsidR="00402676" w:rsidRPr="00CE6030" w:rsidRDefault="00402676" w:rsidP="00CE6030">
            <w:pPr>
              <w:spacing w:after="0" w:line="240" w:lineRule="auto"/>
              <w:rPr>
                <w:b/>
                <w:bCs/>
                <w:sz w:val="16"/>
                <w:szCs w:val="16"/>
              </w:rPr>
            </w:pPr>
            <w:r w:rsidRPr="00CE6030">
              <w:rPr>
                <w:b/>
                <w:bCs/>
                <w:sz w:val="16"/>
                <w:szCs w:val="16"/>
              </w:rPr>
              <w:t>Utiliser un raisonnement mathématique :</w:t>
            </w:r>
          </w:p>
          <w:p w:rsidR="00402676" w:rsidRDefault="00402676" w:rsidP="00CE6030">
            <w:pPr>
              <w:spacing w:after="0" w:line="240" w:lineRule="auto"/>
              <w:rPr>
                <w:sz w:val="16"/>
                <w:szCs w:val="16"/>
                <w:highlight w:val="yellow"/>
              </w:rPr>
            </w:pPr>
          </w:p>
          <w:p w:rsidR="00002EB1" w:rsidRDefault="00002EB1" w:rsidP="00CE6030">
            <w:pPr>
              <w:spacing w:after="0" w:line="240" w:lineRule="auto"/>
              <w:rPr>
                <w:sz w:val="16"/>
                <w:szCs w:val="16"/>
                <w:highlight w:val="yellow"/>
              </w:rPr>
            </w:pPr>
            <w:r>
              <w:rPr>
                <w:sz w:val="16"/>
                <w:szCs w:val="16"/>
                <w:highlight w:val="yellow"/>
              </w:rPr>
              <w:t>Situations d’apprentissage et d’évaluation</w:t>
            </w:r>
          </w:p>
          <w:p w:rsidR="00002EB1" w:rsidRDefault="00002EB1" w:rsidP="00CE6030">
            <w:pPr>
              <w:spacing w:after="0" w:line="240" w:lineRule="auto"/>
              <w:rPr>
                <w:sz w:val="16"/>
                <w:szCs w:val="16"/>
                <w:highlight w:val="yellow"/>
              </w:rPr>
            </w:pPr>
          </w:p>
          <w:p w:rsidR="00002EB1" w:rsidRDefault="00002EB1" w:rsidP="00CE6030">
            <w:pPr>
              <w:spacing w:after="0" w:line="240" w:lineRule="auto"/>
              <w:rPr>
                <w:sz w:val="16"/>
                <w:szCs w:val="16"/>
                <w:highlight w:val="yellow"/>
              </w:rPr>
            </w:pPr>
            <w:r>
              <w:rPr>
                <w:sz w:val="16"/>
                <w:szCs w:val="16"/>
                <w:highlight w:val="yellow"/>
              </w:rPr>
              <w:t>Tests de connaissance</w:t>
            </w:r>
          </w:p>
          <w:p w:rsidR="00002EB1" w:rsidRPr="00CE6030" w:rsidRDefault="00002EB1" w:rsidP="00CE6030">
            <w:pPr>
              <w:spacing w:after="0" w:line="240" w:lineRule="auto"/>
              <w:rPr>
                <w:sz w:val="16"/>
                <w:szCs w:val="16"/>
                <w:highlight w:val="yellow"/>
              </w:rPr>
            </w:pPr>
          </w:p>
          <w:p w:rsidR="00402676" w:rsidRPr="00CE6030" w:rsidRDefault="00402676" w:rsidP="00CE6030">
            <w:pPr>
              <w:pStyle w:val="Paragraphedeliste"/>
              <w:spacing w:after="0" w:line="240" w:lineRule="auto"/>
              <w:ind w:left="360"/>
              <w:rPr>
                <w:sz w:val="16"/>
                <w:szCs w:val="16"/>
              </w:rPr>
            </w:pPr>
          </w:p>
          <w:p w:rsidR="00402676" w:rsidRPr="00CE6030" w:rsidRDefault="00402676" w:rsidP="00CE6030">
            <w:pPr>
              <w:spacing w:after="0" w:line="240" w:lineRule="auto"/>
              <w:rPr>
                <w:i/>
                <w:iCs/>
                <w:sz w:val="16"/>
                <w:szCs w:val="16"/>
              </w:rPr>
            </w:pPr>
          </w:p>
        </w:tc>
        <w:tc>
          <w:tcPr>
            <w:tcW w:w="562" w:type="pct"/>
            <w:tcBorders>
              <w:top w:val="single" w:sz="4" w:space="0" w:color="auto"/>
              <w:bottom w:val="single" w:sz="4" w:space="0" w:color="auto"/>
            </w:tcBorders>
          </w:tcPr>
          <w:p w:rsidR="00402676" w:rsidRPr="00CE6030" w:rsidRDefault="00402676" w:rsidP="00CE6030">
            <w:pPr>
              <w:tabs>
                <w:tab w:val="left" w:pos="2002"/>
              </w:tabs>
              <w:spacing w:after="0" w:line="240" w:lineRule="auto"/>
              <w:rPr>
                <w:b/>
                <w:bCs/>
                <w:sz w:val="24"/>
                <w:szCs w:val="24"/>
                <w:highlight w:val="yellow"/>
              </w:rPr>
            </w:pPr>
          </w:p>
          <w:p w:rsidR="00402676" w:rsidRPr="00CE6030" w:rsidRDefault="00402676" w:rsidP="00CE6030">
            <w:pPr>
              <w:tabs>
                <w:tab w:val="left" w:pos="2002"/>
              </w:tabs>
              <w:spacing w:after="0" w:line="240" w:lineRule="auto"/>
              <w:jc w:val="center"/>
              <w:rPr>
                <w:b/>
                <w:bCs/>
                <w:sz w:val="24"/>
                <w:szCs w:val="24"/>
                <w:highlight w:val="yellow"/>
              </w:rPr>
            </w:pPr>
            <w:r w:rsidRPr="00CE6030">
              <w:rPr>
                <w:b/>
                <w:bCs/>
                <w:sz w:val="24"/>
                <w:szCs w:val="24"/>
                <w:highlight w:val="yellow"/>
              </w:rPr>
              <w:t>Oui</w:t>
            </w:r>
          </w:p>
        </w:tc>
        <w:tc>
          <w:tcPr>
            <w:tcW w:w="1104" w:type="pct"/>
            <w:tcBorders>
              <w:top w:val="single" w:sz="4" w:space="0" w:color="auto"/>
              <w:bottom w:val="single" w:sz="4" w:space="0" w:color="auto"/>
              <w:right w:val="single" w:sz="4" w:space="0" w:color="auto"/>
            </w:tcBorders>
          </w:tcPr>
          <w:p w:rsidR="00402676" w:rsidRPr="00CE6030" w:rsidRDefault="00402676" w:rsidP="00CE6030">
            <w:pPr>
              <w:spacing w:after="0" w:line="240" w:lineRule="auto"/>
              <w:rPr>
                <w:b/>
                <w:bCs/>
                <w:sz w:val="16"/>
                <w:szCs w:val="16"/>
              </w:rPr>
            </w:pPr>
            <w:r w:rsidRPr="00CE6030">
              <w:rPr>
                <w:b/>
                <w:bCs/>
                <w:sz w:val="16"/>
                <w:szCs w:val="16"/>
              </w:rPr>
              <w:t>Utiliser un raisonnement mathématique :</w:t>
            </w:r>
          </w:p>
          <w:p w:rsidR="00402676" w:rsidRDefault="00402676" w:rsidP="00CE6030">
            <w:pPr>
              <w:spacing w:after="0" w:line="240" w:lineRule="auto"/>
              <w:rPr>
                <w:sz w:val="16"/>
                <w:szCs w:val="16"/>
                <w:highlight w:val="yellow"/>
              </w:rPr>
            </w:pPr>
          </w:p>
          <w:p w:rsidR="00002EB1" w:rsidRDefault="00002EB1" w:rsidP="00CE6030">
            <w:pPr>
              <w:spacing w:after="0" w:line="240" w:lineRule="auto"/>
              <w:rPr>
                <w:sz w:val="16"/>
                <w:szCs w:val="16"/>
                <w:highlight w:val="yellow"/>
              </w:rPr>
            </w:pPr>
            <w:r>
              <w:rPr>
                <w:sz w:val="16"/>
                <w:szCs w:val="16"/>
                <w:highlight w:val="yellow"/>
              </w:rPr>
              <w:t>Situations d’apprentissage et d’évaluation</w:t>
            </w:r>
          </w:p>
          <w:p w:rsidR="00002EB1" w:rsidRDefault="00002EB1" w:rsidP="00CE6030">
            <w:pPr>
              <w:spacing w:after="0" w:line="240" w:lineRule="auto"/>
              <w:rPr>
                <w:sz w:val="16"/>
                <w:szCs w:val="16"/>
                <w:highlight w:val="yellow"/>
              </w:rPr>
            </w:pPr>
          </w:p>
          <w:p w:rsidR="00002EB1" w:rsidRPr="00CE6030" w:rsidRDefault="00002EB1" w:rsidP="00CE6030">
            <w:pPr>
              <w:spacing w:after="0" w:line="240" w:lineRule="auto"/>
              <w:rPr>
                <w:sz w:val="16"/>
                <w:szCs w:val="16"/>
                <w:highlight w:val="yellow"/>
              </w:rPr>
            </w:pPr>
            <w:r>
              <w:rPr>
                <w:sz w:val="16"/>
                <w:szCs w:val="16"/>
                <w:highlight w:val="yellow"/>
              </w:rPr>
              <w:t>Tests de connaissance</w:t>
            </w:r>
          </w:p>
          <w:p w:rsidR="00402676" w:rsidRPr="00CE6030" w:rsidRDefault="00402676" w:rsidP="00CE6030">
            <w:pPr>
              <w:pStyle w:val="Paragraphedeliste"/>
              <w:spacing w:after="0" w:line="240" w:lineRule="auto"/>
              <w:ind w:left="360"/>
              <w:rPr>
                <w:sz w:val="16"/>
                <w:szCs w:val="16"/>
              </w:rPr>
            </w:pPr>
          </w:p>
          <w:p w:rsidR="00402676" w:rsidRPr="00CE6030" w:rsidRDefault="00402676" w:rsidP="00CE6030">
            <w:pPr>
              <w:spacing w:after="0" w:line="240" w:lineRule="auto"/>
              <w:rPr>
                <w:i/>
                <w:iCs/>
                <w:sz w:val="16"/>
                <w:szCs w:val="16"/>
              </w:rPr>
            </w:pPr>
          </w:p>
        </w:tc>
        <w:tc>
          <w:tcPr>
            <w:tcW w:w="449" w:type="pct"/>
            <w:tcBorders>
              <w:top w:val="single" w:sz="4" w:space="0" w:color="auto"/>
              <w:left w:val="single" w:sz="4" w:space="0" w:color="auto"/>
              <w:bottom w:val="single" w:sz="4" w:space="0" w:color="auto"/>
            </w:tcBorders>
          </w:tcPr>
          <w:p w:rsidR="00402676" w:rsidRPr="00CE6030" w:rsidRDefault="00402676" w:rsidP="00CE6030">
            <w:pPr>
              <w:spacing w:after="0" w:line="240" w:lineRule="auto"/>
              <w:rPr>
                <w:b/>
                <w:bCs/>
                <w:sz w:val="24"/>
                <w:szCs w:val="24"/>
              </w:rPr>
            </w:pPr>
          </w:p>
          <w:p w:rsidR="00402676" w:rsidRPr="00CE6030" w:rsidRDefault="00402676" w:rsidP="00CE6030">
            <w:pPr>
              <w:spacing w:after="0" w:line="240" w:lineRule="auto"/>
              <w:jc w:val="center"/>
              <w:rPr>
                <w:b/>
                <w:bCs/>
                <w:sz w:val="24"/>
                <w:szCs w:val="24"/>
              </w:rPr>
            </w:pPr>
            <w:r w:rsidRPr="00CE6030">
              <w:rPr>
                <w:b/>
                <w:bCs/>
                <w:sz w:val="24"/>
                <w:szCs w:val="24"/>
              </w:rPr>
              <w:t>Oui</w:t>
            </w:r>
          </w:p>
          <w:p w:rsidR="00402676" w:rsidRPr="00CE6030" w:rsidRDefault="00402676" w:rsidP="00CE6030">
            <w:pPr>
              <w:spacing w:after="0" w:line="240" w:lineRule="auto"/>
              <w:jc w:val="center"/>
              <w:rPr>
                <w:b/>
                <w:bCs/>
                <w:sz w:val="24"/>
                <w:szCs w:val="24"/>
              </w:rPr>
            </w:pPr>
            <w:r w:rsidRPr="00CE6030">
              <w:rPr>
                <w:b/>
                <w:bCs/>
                <w:sz w:val="16"/>
                <w:szCs w:val="16"/>
              </w:rPr>
              <w:t>CS</w:t>
            </w:r>
          </w:p>
        </w:tc>
        <w:tc>
          <w:tcPr>
            <w:tcW w:w="384" w:type="pct"/>
            <w:tcBorders>
              <w:top w:val="single" w:sz="4" w:space="0" w:color="auto"/>
              <w:bottom w:val="single" w:sz="4" w:space="0" w:color="auto"/>
            </w:tcBorders>
          </w:tcPr>
          <w:p w:rsidR="00402676" w:rsidRPr="00CE6030" w:rsidRDefault="00402676" w:rsidP="00CE6030">
            <w:pPr>
              <w:tabs>
                <w:tab w:val="left" w:pos="2002"/>
              </w:tabs>
              <w:spacing w:after="0" w:line="240" w:lineRule="auto"/>
              <w:rPr>
                <w:b/>
                <w:bCs/>
                <w:sz w:val="24"/>
                <w:szCs w:val="24"/>
              </w:rPr>
            </w:pPr>
          </w:p>
          <w:p w:rsidR="00402676" w:rsidRPr="00CE6030" w:rsidRDefault="00402676" w:rsidP="00CE6030">
            <w:pPr>
              <w:tabs>
                <w:tab w:val="left" w:pos="2002"/>
              </w:tabs>
              <w:spacing w:after="0" w:line="240" w:lineRule="auto"/>
              <w:jc w:val="center"/>
              <w:rPr>
                <w:b/>
                <w:bCs/>
                <w:sz w:val="24"/>
                <w:szCs w:val="24"/>
              </w:rPr>
            </w:pPr>
            <w:r w:rsidRPr="00CE6030">
              <w:rPr>
                <w:b/>
                <w:bCs/>
                <w:sz w:val="24"/>
                <w:szCs w:val="24"/>
              </w:rPr>
              <w:t>Oui</w:t>
            </w:r>
          </w:p>
        </w:tc>
      </w:tr>
    </w:tbl>
    <w:p w:rsidR="00402676" w:rsidRPr="00AE6AD9" w:rsidRDefault="00402676" w:rsidP="00AE6AD9">
      <w:pPr>
        <w:rPr>
          <w:sz w:val="18"/>
          <w:szCs w:val="18"/>
        </w:rPr>
      </w:pPr>
    </w:p>
    <w:sectPr w:rsidR="00402676" w:rsidRPr="00AE6AD9" w:rsidSect="00EE79AB">
      <w:footerReference w:type="default" r:id="rId7"/>
      <w:footerReference w:type="first" r:id="rId8"/>
      <w:pgSz w:w="12240" w:h="15840" w:code="1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CF6" w:rsidRDefault="00095CF6" w:rsidP="00D92610">
      <w:pPr>
        <w:spacing w:after="0" w:line="240" w:lineRule="auto"/>
      </w:pPr>
      <w:r>
        <w:separator/>
      </w:r>
    </w:p>
  </w:endnote>
  <w:endnote w:type="continuationSeparator" w:id="0">
    <w:p w:rsidR="00095CF6" w:rsidRDefault="00095CF6" w:rsidP="00D9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F6" w:rsidRDefault="00095CF6">
    <w:pPr>
      <w:pStyle w:val="Pieddepage"/>
      <w:jc w:val="center"/>
    </w:pPr>
    <w:r>
      <w:fldChar w:fldCharType="begin"/>
    </w:r>
    <w:r>
      <w:instrText xml:space="preserve"> PAGE   \* MERGEFORMAT </w:instrText>
    </w:r>
    <w:r>
      <w:fldChar w:fldCharType="separate"/>
    </w:r>
    <w:r w:rsidR="00BC64DC">
      <w:rPr>
        <w:noProof/>
      </w:rPr>
      <w:t>2</w:t>
    </w:r>
    <w:r>
      <w:rPr>
        <w:noProof/>
      </w:rPr>
      <w:fldChar w:fldCharType="end"/>
    </w:r>
  </w:p>
  <w:p w:rsidR="00095CF6" w:rsidRDefault="00095CF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F6" w:rsidRPr="00DF77D3" w:rsidRDefault="00095CF6">
    <w:pPr>
      <w:pStyle w:val="Pieddepage"/>
      <w:rPr>
        <w:sz w:val="16"/>
        <w:szCs w:val="16"/>
      </w:rPr>
    </w:pPr>
    <w:r w:rsidRPr="00DF77D3">
      <w:rPr>
        <w:sz w:val="16"/>
        <w:szCs w:val="16"/>
      </w:rPr>
      <w:fldChar w:fldCharType="begin"/>
    </w:r>
    <w:r w:rsidRPr="00DF77D3">
      <w:rPr>
        <w:sz w:val="16"/>
        <w:szCs w:val="16"/>
      </w:rPr>
      <w:instrText xml:space="preserve"> TIME \@ "yyyy-MM-dd" </w:instrText>
    </w:r>
    <w:r w:rsidRPr="00DF77D3">
      <w:rPr>
        <w:sz w:val="16"/>
        <w:szCs w:val="16"/>
      </w:rPr>
      <w:fldChar w:fldCharType="separate"/>
    </w:r>
    <w:r w:rsidR="00BC64DC">
      <w:rPr>
        <w:noProof/>
        <w:sz w:val="16"/>
        <w:szCs w:val="16"/>
      </w:rPr>
      <w:t>2019-09-08</w:t>
    </w:r>
    <w:r w:rsidRPr="00DF77D3">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CF6" w:rsidRDefault="00095CF6" w:rsidP="00D92610">
      <w:pPr>
        <w:spacing w:after="0" w:line="240" w:lineRule="auto"/>
      </w:pPr>
      <w:r>
        <w:separator/>
      </w:r>
    </w:p>
  </w:footnote>
  <w:footnote w:type="continuationSeparator" w:id="0">
    <w:p w:rsidR="00095CF6" w:rsidRDefault="00095CF6" w:rsidP="00D92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5B7B"/>
    <w:multiLevelType w:val="hybridMultilevel"/>
    <w:tmpl w:val="808C0D3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 w15:restartNumberingAfterBreak="0">
    <w:nsid w:val="23134DCC"/>
    <w:multiLevelType w:val="hybridMultilevel"/>
    <w:tmpl w:val="5F56E3CC"/>
    <w:lvl w:ilvl="0" w:tplc="0C0C0005">
      <w:start w:val="1"/>
      <w:numFmt w:val="bullet"/>
      <w:lvlText w:val=""/>
      <w:lvlJc w:val="left"/>
      <w:pPr>
        <w:ind w:left="3905" w:hanging="360"/>
      </w:pPr>
      <w:rPr>
        <w:rFonts w:ascii="Wingdings" w:hAnsi="Wingdings" w:cs="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2" w15:restartNumberingAfterBreak="0">
    <w:nsid w:val="2C76683D"/>
    <w:multiLevelType w:val="hybridMultilevel"/>
    <w:tmpl w:val="4118A642"/>
    <w:lvl w:ilvl="0" w:tplc="80CCA79A">
      <w:start w:val="70"/>
      <w:numFmt w:val="bullet"/>
      <w:lvlText w:val="-"/>
      <w:lvlJc w:val="left"/>
      <w:pPr>
        <w:ind w:left="-132" w:hanging="360"/>
      </w:pPr>
      <w:rPr>
        <w:rFonts w:ascii="Calibri" w:eastAsia="Times New Roman" w:hAnsi="Calibri" w:hint="default"/>
      </w:rPr>
    </w:lvl>
    <w:lvl w:ilvl="1" w:tplc="0C0C0003">
      <w:start w:val="1"/>
      <w:numFmt w:val="bullet"/>
      <w:lvlText w:val="o"/>
      <w:lvlJc w:val="left"/>
      <w:pPr>
        <w:ind w:left="588" w:hanging="360"/>
      </w:pPr>
      <w:rPr>
        <w:rFonts w:ascii="Courier New" w:hAnsi="Courier New" w:cs="Courier New" w:hint="default"/>
      </w:rPr>
    </w:lvl>
    <w:lvl w:ilvl="2" w:tplc="0C0C0005">
      <w:start w:val="1"/>
      <w:numFmt w:val="bullet"/>
      <w:lvlText w:val=""/>
      <w:lvlJc w:val="left"/>
      <w:pPr>
        <w:ind w:left="1308" w:hanging="360"/>
      </w:pPr>
      <w:rPr>
        <w:rFonts w:ascii="Wingdings" w:hAnsi="Wingdings" w:cs="Wingdings" w:hint="default"/>
      </w:rPr>
    </w:lvl>
    <w:lvl w:ilvl="3" w:tplc="0C0C0001">
      <w:start w:val="1"/>
      <w:numFmt w:val="bullet"/>
      <w:lvlText w:val=""/>
      <w:lvlJc w:val="left"/>
      <w:pPr>
        <w:ind w:left="2028" w:hanging="360"/>
      </w:pPr>
      <w:rPr>
        <w:rFonts w:ascii="Symbol" w:hAnsi="Symbol" w:cs="Symbol" w:hint="default"/>
      </w:rPr>
    </w:lvl>
    <w:lvl w:ilvl="4" w:tplc="0C0C0003">
      <w:start w:val="1"/>
      <w:numFmt w:val="bullet"/>
      <w:lvlText w:val="o"/>
      <w:lvlJc w:val="left"/>
      <w:pPr>
        <w:ind w:left="2748" w:hanging="360"/>
      </w:pPr>
      <w:rPr>
        <w:rFonts w:ascii="Courier New" w:hAnsi="Courier New" w:cs="Courier New" w:hint="default"/>
      </w:rPr>
    </w:lvl>
    <w:lvl w:ilvl="5" w:tplc="0C0C0005">
      <w:start w:val="1"/>
      <w:numFmt w:val="bullet"/>
      <w:lvlText w:val=""/>
      <w:lvlJc w:val="left"/>
      <w:pPr>
        <w:ind w:left="3468" w:hanging="360"/>
      </w:pPr>
      <w:rPr>
        <w:rFonts w:ascii="Wingdings" w:hAnsi="Wingdings" w:cs="Wingdings" w:hint="default"/>
      </w:rPr>
    </w:lvl>
    <w:lvl w:ilvl="6" w:tplc="0C0C0001">
      <w:start w:val="1"/>
      <w:numFmt w:val="bullet"/>
      <w:lvlText w:val=""/>
      <w:lvlJc w:val="left"/>
      <w:pPr>
        <w:ind w:left="4188" w:hanging="360"/>
      </w:pPr>
      <w:rPr>
        <w:rFonts w:ascii="Symbol" w:hAnsi="Symbol" w:cs="Symbol" w:hint="default"/>
      </w:rPr>
    </w:lvl>
    <w:lvl w:ilvl="7" w:tplc="0C0C0003">
      <w:start w:val="1"/>
      <w:numFmt w:val="bullet"/>
      <w:lvlText w:val="o"/>
      <w:lvlJc w:val="left"/>
      <w:pPr>
        <w:ind w:left="4908" w:hanging="360"/>
      </w:pPr>
      <w:rPr>
        <w:rFonts w:ascii="Courier New" w:hAnsi="Courier New" w:cs="Courier New" w:hint="default"/>
      </w:rPr>
    </w:lvl>
    <w:lvl w:ilvl="8" w:tplc="0C0C0005">
      <w:start w:val="1"/>
      <w:numFmt w:val="bullet"/>
      <w:lvlText w:val=""/>
      <w:lvlJc w:val="left"/>
      <w:pPr>
        <w:ind w:left="5628" w:hanging="360"/>
      </w:pPr>
      <w:rPr>
        <w:rFonts w:ascii="Wingdings" w:hAnsi="Wingdings" w:cs="Wingdings" w:hint="default"/>
      </w:rPr>
    </w:lvl>
  </w:abstractNum>
  <w:abstractNum w:abstractNumId="3" w15:restartNumberingAfterBreak="0">
    <w:nsid w:val="38A0218D"/>
    <w:multiLevelType w:val="hybridMultilevel"/>
    <w:tmpl w:val="CE58B142"/>
    <w:lvl w:ilvl="0" w:tplc="0C0C0001">
      <w:start w:val="1"/>
      <w:numFmt w:val="bullet"/>
      <w:lvlText w:val=""/>
      <w:lvlJc w:val="left"/>
      <w:pPr>
        <w:ind w:left="7221" w:hanging="360"/>
      </w:pPr>
      <w:rPr>
        <w:rFonts w:ascii="Symbol" w:hAnsi="Symbol" w:cs="Symbol" w:hint="default"/>
      </w:rPr>
    </w:lvl>
    <w:lvl w:ilvl="1" w:tplc="0C0C0003">
      <w:start w:val="1"/>
      <w:numFmt w:val="bullet"/>
      <w:lvlText w:val="o"/>
      <w:lvlJc w:val="left"/>
      <w:pPr>
        <w:ind w:left="7941" w:hanging="360"/>
      </w:pPr>
      <w:rPr>
        <w:rFonts w:ascii="Courier New" w:hAnsi="Courier New" w:cs="Courier New" w:hint="default"/>
      </w:rPr>
    </w:lvl>
    <w:lvl w:ilvl="2" w:tplc="0C0C0005">
      <w:start w:val="1"/>
      <w:numFmt w:val="bullet"/>
      <w:lvlText w:val=""/>
      <w:lvlJc w:val="left"/>
      <w:pPr>
        <w:ind w:left="8661" w:hanging="360"/>
      </w:pPr>
      <w:rPr>
        <w:rFonts w:ascii="Wingdings" w:hAnsi="Wingdings" w:cs="Wingdings" w:hint="default"/>
      </w:rPr>
    </w:lvl>
    <w:lvl w:ilvl="3" w:tplc="0C0C0001">
      <w:start w:val="1"/>
      <w:numFmt w:val="bullet"/>
      <w:lvlText w:val=""/>
      <w:lvlJc w:val="left"/>
      <w:pPr>
        <w:ind w:left="9381" w:hanging="360"/>
      </w:pPr>
      <w:rPr>
        <w:rFonts w:ascii="Symbol" w:hAnsi="Symbol" w:cs="Symbol" w:hint="default"/>
      </w:rPr>
    </w:lvl>
    <w:lvl w:ilvl="4" w:tplc="0C0C0003">
      <w:start w:val="1"/>
      <w:numFmt w:val="bullet"/>
      <w:lvlText w:val="o"/>
      <w:lvlJc w:val="left"/>
      <w:pPr>
        <w:ind w:left="10101" w:hanging="360"/>
      </w:pPr>
      <w:rPr>
        <w:rFonts w:ascii="Courier New" w:hAnsi="Courier New" w:cs="Courier New" w:hint="default"/>
      </w:rPr>
    </w:lvl>
    <w:lvl w:ilvl="5" w:tplc="0C0C0005">
      <w:start w:val="1"/>
      <w:numFmt w:val="bullet"/>
      <w:lvlText w:val=""/>
      <w:lvlJc w:val="left"/>
      <w:pPr>
        <w:ind w:left="10821" w:hanging="360"/>
      </w:pPr>
      <w:rPr>
        <w:rFonts w:ascii="Wingdings" w:hAnsi="Wingdings" w:cs="Wingdings" w:hint="default"/>
      </w:rPr>
    </w:lvl>
    <w:lvl w:ilvl="6" w:tplc="0C0C0001">
      <w:start w:val="1"/>
      <w:numFmt w:val="bullet"/>
      <w:lvlText w:val=""/>
      <w:lvlJc w:val="left"/>
      <w:pPr>
        <w:ind w:left="11541" w:hanging="360"/>
      </w:pPr>
      <w:rPr>
        <w:rFonts w:ascii="Symbol" w:hAnsi="Symbol" w:cs="Symbol" w:hint="default"/>
      </w:rPr>
    </w:lvl>
    <w:lvl w:ilvl="7" w:tplc="0C0C0003">
      <w:start w:val="1"/>
      <w:numFmt w:val="bullet"/>
      <w:lvlText w:val="o"/>
      <w:lvlJc w:val="left"/>
      <w:pPr>
        <w:ind w:left="12261" w:hanging="360"/>
      </w:pPr>
      <w:rPr>
        <w:rFonts w:ascii="Courier New" w:hAnsi="Courier New" w:cs="Courier New" w:hint="default"/>
      </w:rPr>
    </w:lvl>
    <w:lvl w:ilvl="8" w:tplc="0C0C0005">
      <w:start w:val="1"/>
      <w:numFmt w:val="bullet"/>
      <w:lvlText w:val=""/>
      <w:lvlJc w:val="left"/>
      <w:pPr>
        <w:ind w:left="12981" w:hanging="360"/>
      </w:pPr>
      <w:rPr>
        <w:rFonts w:ascii="Wingdings" w:hAnsi="Wingdings" w:cs="Wingdings" w:hint="default"/>
      </w:rPr>
    </w:lvl>
  </w:abstractNum>
  <w:abstractNum w:abstractNumId="4" w15:restartNumberingAfterBreak="0">
    <w:nsid w:val="44896EDB"/>
    <w:multiLevelType w:val="hybridMultilevel"/>
    <w:tmpl w:val="2DBE61FA"/>
    <w:lvl w:ilvl="0" w:tplc="9A2E5ADC">
      <w:numFmt w:val="bullet"/>
      <w:lvlText w:val="-"/>
      <w:lvlJc w:val="left"/>
      <w:pPr>
        <w:ind w:left="720" w:hanging="360"/>
      </w:pPr>
      <w:rPr>
        <w:rFonts w:ascii="Calibri" w:eastAsia="Calibri" w:hAnsi="Calibri" w:cs="Calibri"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71A764A"/>
    <w:multiLevelType w:val="hybridMultilevel"/>
    <w:tmpl w:val="408E1DBE"/>
    <w:lvl w:ilvl="0" w:tplc="D8E8FDCC">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9D40D22"/>
    <w:multiLevelType w:val="hybridMultilevel"/>
    <w:tmpl w:val="32F8E29A"/>
    <w:lvl w:ilvl="0" w:tplc="80CCA79A">
      <w:start w:val="70"/>
      <w:numFmt w:val="bullet"/>
      <w:lvlText w:val="-"/>
      <w:lvlJc w:val="left"/>
      <w:pPr>
        <w:ind w:left="862" w:hanging="360"/>
      </w:pPr>
      <w:rPr>
        <w:rFonts w:ascii="Calibri" w:eastAsia="Times New Roman" w:hAnsi="Calibri" w:hint="default"/>
      </w:rPr>
    </w:lvl>
    <w:lvl w:ilvl="1" w:tplc="0C0C0003">
      <w:start w:val="1"/>
      <w:numFmt w:val="bullet"/>
      <w:lvlText w:val="o"/>
      <w:lvlJc w:val="left"/>
      <w:pPr>
        <w:ind w:left="1582" w:hanging="360"/>
      </w:pPr>
      <w:rPr>
        <w:rFonts w:ascii="Courier New" w:hAnsi="Courier New" w:cs="Courier New" w:hint="default"/>
      </w:rPr>
    </w:lvl>
    <w:lvl w:ilvl="2" w:tplc="0C0C0005">
      <w:start w:val="1"/>
      <w:numFmt w:val="bullet"/>
      <w:lvlText w:val=""/>
      <w:lvlJc w:val="left"/>
      <w:pPr>
        <w:ind w:left="2302" w:hanging="360"/>
      </w:pPr>
      <w:rPr>
        <w:rFonts w:ascii="Wingdings" w:hAnsi="Wingdings" w:cs="Wingdings" w:hint="default"/>
      </w:rPr>
    </w:lvl>
    <w:lvl w:ilvl="3" w:tplc="0C0C0001">
      <w:start w:val="1"/>
      <w:numFmt w:val="bullet"/>
      <w:lvlText w:val=""/>
      <w:lvlJc w:val="left"/>
      <w:pPr>
        <w:ind w:left="3022" w:hanging="360"/>
      </w:pPr>
      <w:rPr>
        <w:rFonts w:ascii="Symbol" w:hAnsi="Symbol" w:cs="Symbol" w:hint="default"/>
      </w:rPr>
    </w:lvl>
    <w:lvl w:ilvl="4" w:tplc="0C0C0003">
      <w:start w:val="1"/>
      <w:numFmt w:val="bullet"/>
      <w:lvlText w:val="o"/>
      <w:lvlJc w:val="left"/>
      <w:pPr>
        <w:ind w:left="3742" w:hanging="360"/>
      </w:pPr>
      <w:rPr>
        <w:rFonts w:ascii="Courier New" w:hAnsi="Courier New" w:cs="Courier New" w:hint="default"/>
      </w:rPr>
    </w:lvl>
    <w:lvl w:ilvl="5" w:tplc="0C0C0005">
      <w:start w:val="1"/>
      <w:numFmt w:val="bullet"/>
      <w:lvlText w:val=""/>
      <w:lvlJc w:val="left"/>
      <w:pPr>
        <w:ind w:left="4462" w:hanging="360"/>
      </w:pPr>
      <w:rPr>
        <w:rFonts w:ascii="Wingdings" w:hAnsi="Wingdings" w:cs="Wingdings" w:hint="default"/>
      </w:rPr>
    </w:lvl>
    <w:lvl w:ilvl="6" w:tplc="0C0C0001">
      <w:start w:val="1"/>
      <w:numFmt w:val="bullet"/>
      <w:lvlText w:val=""/>
      <w:lvlJc w:val="left"/>
      <w:pPr>
        <w:ind w:left="5182" w:hanging="360"/>
      </w:pPr>
      <w:rPr>
        <w:rFonts w:ascii="Symbol" w:hAnsi="Symbol" w:cs="Symbol" w:hint="default"/>
      </w:rPr>
    </w:lvl>
    <w:lvl w:ilvl="7" w:tplc="0C0C0003">
      <w:start w:val="1"/>
      <w:numFmt w:val="bullet"/>
      <w:lvlText w:val="o"/>
      <w:lvlJc w:val="left"/>
      <w:pPr>
        <w:ind w:left="5902" w:hanging="360"/>
      </w:pPr>
      <w:rPr>
        <w:rFonts w:ascii="Courier New" w:hAnsi="Courier New" w:cs="Courier New" w:hint="default"/>
      </w:rPr>
    </w:lvl>
    <w:lvl w:ilvl="8" w:tplc="0C0C0005">
      <w:start w:val="1"/>
      <w:numFmt w:val="bullet"/>
      <w:lvlText w:val=""/>
      <w:lvlJc w:val="left"/>
      <w:pPr>
        <w:ind w:left="6622" w:hanging="360"/>
      </w:pPr>
      <w:rPr>
        <w:rFonts w:ascii="Wingdings" w:hAnsi="Wingdings" w:cs="Wingdings" w:hint="default"/>
      </w:rPr>
    </w:lvl>
  </w:abstractNum>
  <w:abstractNum w:abstractNumId="7" w15:restartNumberingAfterBreak="0">
    <w:nsid w:val="5D5B3A48"/>
    <w:multiLevelType w:val="hybridMultilevel"/>
    <w:tmpl w:val="CF4659E2"/>
    <w:lvl w:ilvl="0" w:tplc="0C0C000F">
      <w:start w:val="1"/>
      <w:numFmt w:val="decimal"/>
      <w:lvlText w:val="%1."/>
      <w:lvlJc w:val="left"/>
      <w:pPr>
        <w:tabs>
          <w:tab w:val="num" w:pos="720"/>
        </w:tabs>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8" w15:restartNumberingAfterBreak="0">
    <w:nsid w:val="6DA363CC"/>
    <w:multiLevelType w:val="hybridMultilevel"/>
    <w:tmpl w:val="D4C2925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9" w15:restartNumberingAfterBreak="0">
    <w:nsid w:val="6F3D52B2"/>
    <w:multiLevelType w:val="hybridMultilevel"/>
    <w:tmpl w:val="E5685C92"/>
    <w:lvl w:ilvl="0" w:tplc="0C0C000F">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0" w15:restartNumberingAfterBreak="0">
    <w:nsid w:val="6FFD0BCA"/>
    <w:multiLevelType w:val="hybridMultilevel"/>
    <w:tmpl w:val="71CE7E66"/>
    <w:lvl w:ilvl="0" w:tplc="0C0C000F">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1" w15:restartNumberingAfterBreak="0">
    <w:nsid w:val="7AAA0E2D"/>
    <w:multiLevelType w:val="hybridMultilevel"/>
    <w:tmpl w:val="FAA4078A"/>
    <w:lvl w:ilvl="0" w:tplc="0C0C0001">
      <w:start w:val="1"/>
      <w:numFmt w:val="bullet"/>
      <w:lvlText w:val=""/>
      <w:lvlJc w:val="left"/>
      <w:pPr>
        <w:ind w:left="360" w:hanging="360"/>
      </w:pPr>
      <w:rPr>
        <w:rFonts w:ascii="Symbol" w:hAnsi="Symbol" w:cs="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cs="Wingdings" w:hint="default"/>
      </w:rPr>
    </w:lvl>
    <w:lvl w:ilvl="3" w:tplc="0C0C0001">
      <w:start w:val="1"/>
      <w:numFmt w:val="bullet"/>
      <w:lvlText w:val=""/>
      <w:lvlJc w:val="left"/>
      <w:pPr>
        <w:ind w:left="2520" w:hanging="360"/>
      </w:pPr>
      <w:rPr>
        <w:rFonts w:ascii="Symbol" w:hAnsi="Symbol" w:cs="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cs="Wingdings" w:hint="default"/>
      </w:rPr>
    </w:lvl>
    <w:lvl w:ilvl="6" w:tplc="0C0C0001">
      <w:start w:val="1"/>
      <w:numFmt w:val="bullet"/>
      <w:lvlText w:val=""/>
      <w:lvlJc w:val="left"/>
      <w:pPr>
        <w:ind w:left="4680" w:hanging="360"/>
      </w:pPr>
      <w:rPr>
        <w:rFonts w:ascii="Symbol" w:hAnsi="Symbol" w:cs="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cs="Wingdings" w:hint="default"/>
      </w:rPr>
    </w:lvl>
  </w:abstractNum>
  <w:num w:numId="1">
    <w:abstractNumId w:val="3"/>
  </w:num>
  <w:num w:numId="2">
    <w:abstractNumId w:val="8"/>
  </w:num>
  <w:num w:numId="3">
    <w:abstractNumId w:val="0"/>
  </w:num>
  <w:num w:numId="4">
    <w:abstractNumId w:val="1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2"/>
  </w:num>
  <w:num w:numId="9">
    <w:abstractNumId w:val="6"/>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C2"/>
    <w:rsid w:val="00002EB1"/>
    <w:rsid w:val="0000449A"/>
    <w:rsid w:val="00012950"/>
    <w:rsid w:val="000254A7"/>
    <w:rsid w:val="00027063"/>
    <w:rsid w:val="00035A54"/>
    <w:rsid w:val="00040CFF"/>
    <w:rsid w:val="000460A5"/>
    <w:rsid w:val="00051632"/>
    <w:rsid w:val="000517E5"/>
    <w:rsid w:val="00056379"/>
    <w:rsid w:val="00062CF2"/>
    <w:rsid w:val="000719C2"/>
    <w:rsid w:val="00095CF6"/>
    <w:rsid w:val="000B34A8"/>
    <w:rsid w:val="000B5E82"/>
    <w:rsid w:val="000D1BF9"/>
    <w:rsid w:val="000D1D95"/>
    <w:rsid w:val="000D52F6"/>
    <w:rsid w:val="000F43ED"/>
    <w:rsid w:val="000F7F29"/>
    <w:rsid w:val="001226C6"/>
    <w:rsid w:val="001262D5"/>
    <w:rsid w:val="0013181F"/>
    <w:rsid w:val="00147847"/>
    <w:rsid w:val="00156EDB"/>
    <w:rsid w:val="001656E4"/>
    <w:rsid w:val="001671DA"/>
    <w:rsid w:val="00183231"/>
    <w:rsid w:val="0018726B"/>
    <w:rsid w:val="001A2A1A"/>
    <w:rsid w:val="001A58A1"/>
    <w:rsid w:val="001C69F0"/>
    <w:rsid w:val="001E2390"/>
    <w:rsid w:val="001F07F1"/>
    <w:rsid w:val="001F3747"/>
    <w:rsid w:val="002040DA"/>
    <w:rsid w:val="0021353A"/>
    <w:rsid w:val="00231131"/>
    <w:rsid w:val="00282BD6"/>
    <w:rsid w:val="0028643A"/>
    <w:rsid w:val="002B2EED"/>
    <w:rsid w:val="002B52D2"/>
    <w:rsid w:val="002B5F2A"/>
    <w:rsid w:val="002D531A"/>
    <w:rsid w:val="002F187C"/>
    <w:rsid w:val="002F4569"/>
    <w:rsid w:val="002F6AB0"/>
    <w:rsid w:val="00301645"/>
    <w:rsid w:val="00315E02"/>
    <w:rsid w:val="00316275"/>
    <w:rsid w:val="00333965"/>
    <w:rsid w:val="00333A4C"/>
    <w:rsid w:val="003416BF"/>
    <w:rsid w:val="00370B8C"/>
    <w:rsid w:val="003933A9"/>
    <w:rsid w:val="003A3237"/>
    <w:rsid w:val="003A7C2C"/>
    <w:rsid w:val="003C03F0"/>
    <w:rsid w:val="003C0794"/>
    <w:rsid w:val="003D12BD"/>
    <w:rsid w:val="003E11BC"/>
    <w:rsid w:val="003F58E0"/>
    <w:rsid w:val="003F59D3"/>
    <w:rsid w:val="00402676"/>
    <w:rsid w:val="00405430"/>
    <w:rsid w:val="004119FE"/>
    <w:rsid w:val="00432165"/>
    <w:rsid w:val="00451393"/>
    <w:rsid w:val="00452040"/>
    <w:rsid w:val="004545F6"/>
    <w:rsid w:val="00457882"/>
    <w:rsid w:val="00480CCF"/>
    <w:rsid w:val="004908B8"/>
    <w:rsid w:val="0049154B"/>
    <w:rsid w:val="004A64CD"/>
    <w:rsid w:val="004A74A6"/>
    <w:rsid w:val="004C77AD"/>
    <w:rsid w:val="004D2D29"/>
    <w:rsid w:val="004F2DCB"/>
    <w:rsid w:val="00510B00"/>
    <w:rsid w:val="00522C12"/>
    <w:rsid w:val="00534BF6"/>
    <w:rsid w:val="005457E8"/>
    <w:rsid w:val="00563ABA"/>
    <w:rsid w:val="00571893"/>
    <w:rsid w:val="0058322F"/>
    <w:rsid w:val="00597040"/>
    <w:rsid w:val="005B7C53"/>
    <w:rsid w:val="005E20DC"/>
    <w:rsid w:val="00601B8D"/>
    <w:rsid w:val="0062344C"/>
    <w:rsid w:val="006374AA"/>
    <w:rsid w:val="00642DC2"/>
    <w:rsid w:val="00644B63"/>
    <w:rsid w:val="00652877"/>
    <w:rsid w:val="00652CCC"/>
    <w:rsid w:val="00664F0D"/>
    <w:rsid w:val="00676E68"/>
    <w:rsid w:val="006A0D82"/>
    <w:rsid w:val="006A7422"/>
    <w:rsid w:val="006B5CD3"/>
    <w:rsid w:val="006D3EA9"/>
    <w:rsid w:val="006E6896"/>
    <w:rsid w:val="006F3813"/>
    <w:rsid w:val="00700755"/>
    <w:rsid w:val="00716172"/>
    <w:rsid w:val="007169B7"/>
    <w:rsid w:val="0076100C"/>
    <w:rsid w:val="0077694F"/>
    <w:rsid w:val="00780A83"/>
    <w:rsid w:val="007A59D3"/>
    <w:rsid w:val="007B5DF1"/>
    <w:rsid w:val="007D1509"/>
    <w:rsid w:val="007E74EA"/>
    <w:rsid w:val="007F160B"/>
    <w:rsid w:val="007F659B"/>
    <w:rsid w:val="008060EE"/>
    <w:rsid w:val="00806BFF"/>
    <w:rsid w:val="00825734"/>
    <w:rsid w:val="00844531"/>
    <w:rsid w:val="008558D4"/>
    <w:rsid w:val="00864069"/>
    <w:rsid w:val="0087771F"/>
    <w:rsid w:val="008915BD"/>
    <w:rsid w:val="00897C14"/>
    <w:rsid w:val="008A1BFD"/>
    <w:rsid w:val="008B06E4"/>
    <w:rsid w:val="008C5423"/>
    <w:rsid w:val="008E7508"/>
    <w:rsid w:val="00906FF3"/>
    <w:rsid w:val="0091070D"/>
    <w:rsid w:val="009213E7"/>
    <w:rsid w:val="00935AFF"/>
    <w:rsid w:val="009372C8"/>
    <w:rsid w:val="00947459"/>
    <w:rsid w:val="00953403"/>
    <w:rsid w:val="009A20C4"/>
    <w:rsid w:val="009B4655"/>
    <w:rsid w:val="009B7AE9"/>
    <w:rsid w:val="009C0EE9"/>
    <w:rsid w:val="009C42F8"/>
    <w:rsid w:val="009F0DFE"/>
    <w:rsid w:val="00A103FC"/>
    <w:rsid w:val="00A11DE0"/>
    <w:rsid w:val="00A12965"/>
    <w:rsid w:val="00A3768F"/>
    <w:rsid w:val="00A41D16"/>
    <w:rsid w:val="00A42B77"/>
    <w:rsid w:val="00A456F7"/>
    <w:rsid w:val="00A8348A"/>
    <w:rsid w:val="00A94C41"/>
    <w:rsid w:val="00AA01C0"/>
    <w:rsid w:val="00AC5B82"/>
    <w:rsid w:val="00AD0648"/>
    <w:rsid w:val="00AE0A88"/>
    <w:rsid w:val="00AE3A94"/>
    <w:rsid w:val="00AE6AD9"/>
    <w:rsid w:val="00AF1B45"/>
    <w:rsid w:val="00B00D82"/>
    <w:rsid w:val="00B128C5"/>
    <w:rsid w:val="00B469B0"/>
    <w:rsid w:val="00B50FEE"/>
    <w:rsid w:val="00B7604E"/>
    <w:rsid w:val="00B83394"/>
    <w:rsid w:val="00B94C95"/>
    <w:rsid w:val="00BA6EF6"/>
    <w:rsid w:val="00BB1D53"/>
    <w:rsid w:val="00BB7BD0"/>
    <w:rsid w:val="00BC64DC"/>
    <w:rsid w:val="00BE27C2"/>
    <w:rsid w:val="00BF1F6A"/>
    <w:rsid w:val="00C00682"/>
    <w:rsid w:val="00C10FB1"/>
    <w:rsid w:val="00C14F3F"/>
    <w:rsid w:val="00C40BF6"/>
    <w:rsid w:val="00C55D5F"/>
    <w:rsid w:val="00C60F36"/>
    <w:rsid w:val="00C6204E"/>
    <w:rsid w:val="00C773CF"/>
    <w:rsid w:val="00C90691"/>
    <w:rsid w:val="00CA0433"/>
    <w:rsid w:val="00CA45A1"/>
    <w:rsid w:val="00CB06AD"/>
    <w:rsid w:val="00CB792A"/>
    <w:rsid w:val="00CC4EA2"/>
    <w:rsid w:val="00CE6030"/>
    <w:rsid w:val="00CF1A1E"/>
    <w:rsid w:val="00D008A3"/>
    <w:rsid w:val="00D10E0C"/>
    <w:rsid w:val="00D16485"/>
    <w:rsid w:val="00D2265F"/>
    <w:rsid w:val="00D22B8A"/>
    <w:rsid w:val="00D35BDC"/>
    <w:rsid w:val="00D41995"/>
    <w:rsid w:val="00D56292"/>
    <w:rsid w:val="00D70BCE"/>
    <w:rsid w:val="00D90AD1"/>
    <w:rsid w:val="00D92610"/>
    <w:rsid w:val="00DA7F8D"/>
    <w:rsid w:val="00DE5A8B"/>
    <w:rsid w:val="00DF77D3"/>
    <w:rsid w:val="00E12E5D"/>
    <w:rsid w:val="00E20DC4"/>
    <w:rsid w:val="00E236D2"/>
    <w:rsid w:val="00E314A3"/>
    <w:rsid w:val="00E457EB"/>
    <w:rsid w:val="00E55150"/>
    <w:rsid w:val="00E61A48"/>
    <w:rsid w:val="00E63EE7"/>
    <w:rsid w:val="00E83F46"/>
    <w:rsid w:val="00EA3888"/>
    <w:rsid w:val="00ED2A00"/>
    <w:rsid w:val="00EE578A"/>
    <w:rsid w:val="00EE7593"/>
    <w:rsid w:val="00EE79AB"/>
    <w:rsid w:val="00EF22A6"/>
    <w:rsid w:val="00F03E2A"/>
    <w:rsid w:val="00F2649D"/>
    <w:rsid w:val="00F26824"/>
    <w:rsid w:val="00F31CA0"/>
    <w:rsid w:val="00F40A39"/>
    <w:rsid w:val="00F4148E"/>
    <w:rsid w:val="00F46EB3"/>
    <w:rsid w:val="00F5794C"/>
    <w:rsid w:val="00F57EB3"/>
    <w:rsid w:val="00F673EB"/>
    <w:rsid w:val="00F67979"/>
    <w:rsid w:val="00F8126B"/>
    <w:rsid w:val="00F972D3"/>
    <w:rsid w:val="00FC1F32"/>
    <w:rsid w:val="00FC1F64"/>
    <w:rsid w:val="00FD5AE9"/>
    <w:rsid w:val="00FD68C5"/>
    <w:rsid w:val="00FD6DF5"/>
    <w:rsid w:val="00FD734C"/>
    <w:rsid w:val="00FE78BF"/>
    <w:rsid w:val="00FF23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A31F8F-B1B8-47C8-8265-CCCA526B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150"/>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55150"/>
    <w:pPr>
      <w:ind w:left="720"/>
    </w:pPr>
  </w:style>
  <w:style w:type="table" w:styleId="Grilledutableau">
    <w:name w:val="Table Grid"/>
    <w:basedOn w:val="TableauNormal"/>
    <w:uiPriority w:val="99"/>
    <w:rsid w:val="007B5DF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rsid w:val="003416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416BF"/>
    <w:rPr>
      <w:rFonts w:ascii="Tahoma" w:hAnsi="Tahoma" w:cs="Tahoma"/>
      <w:sz w:val="16"/>
      <w:szCs w:val="16"/>
    </w:rPr>
  </w:style>
  <w:style w:type="paragraph" w:styleId="En-tte">
    <w:name w:val="header"/>
    <w:basedOn w:val="Normal"/>
    <w:link w:val="En-tteCar"/>
    <w:uiPriority w:val="99"/>
    <w:semiHidden/>
    <w:rsid w:val="00D92610"/>
    <w:pPr>
      <w:tabs>
        <w:tab w:val="center" w:pos="4320"/>
        <w:tab w:val="right" w:pos="8640"/>
      </w:tabs>
      <w:spacing w:after="0" w:line="240" w:lineRule="auto"/>
    </w:pPr>
  </w:style>
  <w:style w:type="character" w:customStyle="1" w:styleId="En-tteCar">
    <w:name w:val="En-tête Car"/>
    <w:basedOn w:val="Policepardfaut"/>
    <w:link w:val="En-tte"/>
    <w:uiPriority w:val="99"/>
    <w:semiHidden/>
    <w:locked/>
    <w:rsid w:val="00D92610"/>
    <w:rPr>
      <w:rFonts w:ascii="Calibri" w:hAnsi="Calibri" w:cs="Calibri"/>
    </w:rPr>
  </w:style>
  <w:style w:type="paragraph" w:styleId="Pieddepage">
    <w:name w:val="footer"/>
    <w:basedOn w:val="Normal"/>
    <w:link w:val="PieddepageCar"/>
    <w:uiPriority w:val="99"/>
    <w:rsid w:val="00D92610"/>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D92610"/>
    <w:rPr>
      <w:rFonts w:ascii="Calibri" w:hAnsi="Calibri" w:cs="Calibri"/>
    </w:rPr>
  </w:style>
  <w:style w:type="paragraph" w:customStyle="1" w:styleId="Paragraphedeliste1">
    <w:name w:val="Paragraphe de liste1"/>
    <w:basedOn w:val="Normal"/>
    <w:uiPriority w:val="99"/>
    <w:rsid w:val="00A103FC"/>
    <w:pPr>
      <w:ind w:left="720"/>
    </w:pPr>
    <w:rPr>
      <w:rFonts w:eastAsia="Times New Roman"/>
    </w:rPr>
  </w:style>
  <w:style w:type="character" w:styleId="Accentuation">
    <w:name w:val="Emphasis"/>
    <w:basedOn w:val="Policepardfaut"/>
    <w:uiPriority w:val="99"/>
    <w:qFormat/>
    <w:rsid w:val="00EF22A6"/>
    <w:rPr>
      <w:i/>
      <w:iCs/>
    </w:rPr>
  </w:style>
  <w:style w:type="paragraph" w:styleId="Notedebasdepage">
    <w:name w:val="footnote text"/>
    <w:basedOn w:val="Normal"/>
    <w:link w:val="NotedebasdepageCar"/>
    <w:uiPriority w:val="99"/>
    <w:semiHidden/>
    <w:rsid w:val="001A58A1"/>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1A58A1"/>
    <w:rPr>
      <w:rFonts w:ascii="Calibri" w:hAnsi="Calibri" w:cs="Calibri"/>
      <w:sz w:val="20"/>
      <w:szCs w:val="20"/>
    </w:rPr>
  </w:style>
  <w:style w:type="character" w:styleId="Appelnotedebasdep">
    <w:name w:val="footnote reference"/>
    <w:basedOn w:val="Policepardfaut"/>
    <w:uiPriority w:val="99"/>
    <w:semiHidden/>
    <w:rsid w:val="001A58A1"/>
    <w:rPr>
      <w:vertAlign w:val="superscript"/>
    </w:rPr>
  </w:style>
  <w:style w:type="character" w:styleId="Lienhypertexte">
    <w:name w:val="Hyperlink"/>
    <w:basedOn w:val="Policepardfaut"/>
    <w:uiPriority w:val="99"/>
    <w:rsid w:val="001A5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6113</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Mathématique, 2e  secondaire, 063206</vt:lpstr>
    </vt:vector>
  </TitlesOfParts>
  <Company>C.S. Marguerite-Bourgeoys</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Mathématique, 2e  secondaire, 063206</dc:title>
  <dc:subject/>
  <dc:creator>Informatique</dc:creator>
  <cp:keywords/>
  <dc:description/>
  <cp:lastModifiedBy>René Bernier</cp:lastModifiedBy>
  <cp:revision>2</cp:revision>
  <cp:lastPrinted>2017-09-01T16:56:00Z</cp:lastPrinted>
  <dcterms:created xsi:type="dcterms:W3CDTF">2019-09-08T18:42:00Z</dcterms:created>
  <dcterms:modified xsi:type="dcterms:W3CDTF">2019-09-08T18:42:00Z</dcterms:modified>
</cp:coreProperties>
</file>