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460300" w:rsidRPr="00BA6EF6" w14:paraId="42283E91" w14:textId="77777777" w:rsidTr="0013323B">
        <w:tc>
          <w:tcPr>
            <w:tcW w:w="5000" w:type="pct"/>
            <w:gridSpan w:val="3"/>
            <w:tcBorders>
              <w:bottom w:val="nil"/>
            </w:tcBorders>
            <w:shd w:val="clear" w:color="auto" w:fill="000000" w:themeFill="text1"/>
          </w:tcPr>
          <w:p w14:paraId="0CFC3274" w14:textId="385A0870" w:rsidR="00460300" w:rsidRPr="00935788" w:rsidRDefault="00470804" w:rsidP="0093578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>Éthique et culture religieuse</w:t>
            </w:r>
            <w:r w:rsidR="00460300" w:rsidRPr="00BA6EF6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BB7E92">
              <w:rPr>
                <w:rFonts w:asciiTheme="minorHAnsi" w:hAnsiTheme="minorHAnsi"/>
                <w:sz w:val="28"/>
                <w:szCs w:val="28"/>
              </w:rPr>
              <w:t>4</w:t>
            </w:r>
            <w:r w:rsidR="00BB7E92" w:rsidRPr="00BB7E92">
              <w:rPr>
                <w:rFonts w:asciiTheme="minorHAnsi" w:hAnsiTheme="minorHAnsi"/>
                <w:sz w:val="28"/>
                <w:szCs w:val="28"/>
                <w:vertAlign w:val="superscript"/>
              </w:rPr>
              <w:t>e</w:t>
            </w:r>
            <w:r w:rsidR="00BB7E9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589F">
              <w:rPr>
                <w:rFonts w:asciiTheme="minorHAnsi" w:hAnsiTheme="minorHAnsi"/>
                <w:sz w:val="28"/>
                <w:szCs w:val="28"/>
              </w:rPr>
              <w:t xml:space="preserve"> secondaire</w:t>
            </w:r>
          </w:p>
        </w:tc>
      </w:tr>
      <w:tr w:rsidR="00460300" w:rsidRPr="00BA6EF6" w14:paraId="3BB786D9" w14:textId="77777777" w:rsidTr="0013323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523E2" w14:textId="77777777" w:rsidR="00460300" w:rsidRPr="00BA6EF6" w:rsidRDefault="00460300" w:rsidP="0047080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6E5B77" w14:textId="77777777" w:rsidR="00460300" w:rsidRPr="00BA6EF6" w:rsidRDefault="00460300" w:rsidP="004708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0300" w:rsidRPr="00BA6EF6" w14:paraId="0F651C84" w14:textId="77777777" w:rsidTr="0013323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ABD0987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6EF6">
              <w:rPr>
                <w:rFonts w:asciiTheme="minorHAnsi" w:hAnsiTheme="minorHAnsi"/>
                <w:b/>
                <w:sz w:val="24"/>
                <w:szCs w:val="24"/>
              </w:rPr>
              <w:t>Connaissances abordées durant l’année (maîtrise)</w:t>
            </w:r>
          </w:p>
          <w:p w14:paraId="11233997" w14:textId="77777777" w:rsidR="00460300" w:rsidRPr="00BA6EF6" w:rsidRDefault="00460300" w:rsidP="003A67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6EF6">
              <w:rPr>
                <w:rFonts w:asciiTheme="minorHAnsi" w:hAnsiTheme="minorHAnsi"/>
                <w:sz w:val="20"/>
                <w:szCs w:val="20"/>
              </w:rPr>
              <w:t xml:space="preserve">Tout au long de l’année, l’élève élargit son champ de connaissances en </w:t>
            </w:r>
            <w:r w:rsidR="003A677D">
              <w:rPr>
                <w:rFonts w:asciiTheme="minorHAnsi" w:hAnsiTheme="minorHAnsi"/>
                <w:sz w:val="20"/>
                <w:szCs w:val="20"/>
              </w:rPr>
              <w:t>éthique et culture religieuse</w:t>
            </w:r>
            <w:r w:rsidR="0013323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300" w:rsidRPr="00BA6EF6" w14:paraId="46897E8E" w14:textId="77777777" w:rsidTr="0013323B">
        <w:tc>
          <w:tcPr>
            <w:tcW w:w="1667" w:type="pct"/>
          </w:tcPr>
          <w:p w14:paraId="3503B272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</w:rPr>
            </w:pPr>
            <w:r w:rsidRPr="00BA6EF6">
              <w:rPr>
                <w:rFonts w:asciiTheme="minorHAnsi" w:hAnsiTheme="minorHAnsi"/>
              </w:rPr>
              <w:t>Étape 1</w:t>
            </w:r>
          </w:p>
        </w:tc>
        <w:tc>
          <w:tcPr>
            <w:tcW w:w="1667" w:type="pct"/>
          </w:tcPr>
          <w:p w14:paraId="69E1859F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</w:rPr>
            </w:pPr>
            <w:r w:rsidRPr="00BA6EF6">
              <w:rPr>
                <w:rFonts w:asciiTheme="minorHAnsi" w:hAnsiTheme="minorHAnsi"/>
              </w:rPr>
              <w:t>Étape 2</w:t>
            </w:r>
          </w:p>
        </w:tc>
        <w:tc>
          <w:tcPr>
            <w:tcW w:w="1667" w:type="pct"/>
          </w:tcPr>
          <w:p w14:paraId="0BD0062C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</w:rPr>
            </w:pPr>
            <w:r w:rsidRPr="00BA6EF6">
              <w:rPr>
                <w:rFonts w:asciiTheme="minorHAnsi" w:hAnsiTheme="minorHAnsi"/>
              </w:rPr>
              <w:t>Étape 3</w:t>
            </w:r>
          </w:p>
        </w:tc>
      </w:tr>
      <w:tr w:rsidR="00460300" w:rsidRPr="00BA6EF6" w14:paraId="6F2A6B44" w14:textId="77777777" w:rsidTr="0013323B">
        <w:tc>
          <w:tcPr>
            <w:tcW w:w="1667" w:type="pct"/>
          </w:tcPr>
          <w:p w14:paraId="23C8ECBF" w14:textId="77777777" w:rsidR="00460300" w:rsidRPr="00102FDE" w:rsidRDefault="00460300" w:rsidP="0047080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82095F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Compétence évaluée : manifester une compréhension du phénomène religieux (C2). </w:t>
            </w:r>
          </w:p>
          <w:p w14:paraId="1FAE4001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Thèmes abordés : </w:t>
            </w:r>
          </w:p>
          <w:p w14:paraId="7ADA2C91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Introduction</w:t>
            </w:r>
          </w:p>
          <w:p w14:paraId="1EECBE73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Dialogue ; culture religieuse ; éthique ; </w:t>
            </w:r>
          </w:p>
          <w:p w14:paraId="7B52FA58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Questions existentielles</w:t>
            </w:r>
          </w:p>
          <w:p w14:paraId="395B077E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D’où venons-nous ? Où allons-nous ? Qui sommes-nous ? L’origine de l’humanité ; le sens de la vie et de la mort ; le divin ; questions abordées par différentes traditions religieuses, courants philosophiques et la science ;</w:t>
            </w:r>
          </w:p>
          <w:p w14:paraId="743B3A9F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L’expérience religieuse</w:t>
            </w:r>
          </w:p>
          <w:p w14:paraId="70AC5CFA" w14:textId="1F44DB67" w:rsidR="00102FDE" w:rsidRPr="00102FDE" w:rsidRDefault="00BB7E92" w:rsidP="00BB7E92">
            <w:pPr>
              <w:jc w:val="both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effets de l’expérience ; pèlerinages ; expériences variées ; expérience sportive (rites/ rites de passage)</w:t>
            </w:r>
          </w:p>
        </w:tc>
        <w:tc>
          <w:tcPr>
            <w:tcW w:w="1667" w:type="pct"/>
          </w:tcPr>
          <w:p w14:paraId="1F77DAA2" w14:textId="77777777" w:rsidR="00460300" w:rsidRPr="00BA6EF6" w:rsidRDefault="00460300" w:rsidP="0047080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3B951E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Compétence évaluée : réfléchir sur des questions éthiques (C1).</w:t>
            </w:r>
          </w:p>
          <w:p w14:paraId="25D472D9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Thèmes abordés : </w:t>
            </w:r>
          </w:p>
          <w:p w14:paraId="6246A53A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La tolérance</w:t>
            </w:r>
          </w:p>
          <w:p w14:paraId="4B3D9D54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Tolérance ; intolérance ; pluralisme ; </w:t>
            </w:r>
          </w:p>
          <w:p w14:paraId="15C971A4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L’ambivalence de l’être humain</w:t>
            </w:r>
          </w:p>
          <w:p w14:paraId="6C19570C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Dilemme ; dilemme moral ; les stades de Kohlberg ; les valeurs ; </w:t>
            </w:r>
          </w:p>
          <w:p w14:paraId="7AD8AD3B" w14:textId="77777777" w:rsidR="00F97FD8" w:rsidRPr="00F97FD8" w:rsidRDefault="00F97FD8" w:rsidP="00F97F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</w:rPr>
            </w:pPr>
          </w:p>
          <w:p w14:paraId="657A9E6D" w14:textId="77777777" w:rsidR="00F97FD8" w:rsidRPr="00F97FD8" w:rsidRDefault="00F97FD8" w:rsidP="00F97F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2C1CAE50" w14:textId="77777777" w:rsidR="00460300" w:rsidRPr="00470804" w:rsidRDefault="00460300" w:rsidP="004708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78DFC26B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Compétences évaluées : réfléchir sur des questions éthiques (C1) et manifester une compréhension du phénomène religieux (C2). </w:t>
            </w:r>
          </w:p>
          <w:p w14:paraId="3B327117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Thèmes abordés :</w:t>
            </w: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2960B1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Le religieux dans les arts et la culture </w:t>
            </w:r>
          </w:p>
          <w:p w14:paraId="636F17E7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L’art sous toutes ses formes ; </w:t>
            </w:r>
          </w:p>
          <w:p w14:paraId="37F4DC33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Religion au fil du temps</w:t>
            </w:r>
          </w:p>
          <w:p w14:paraId="47B05DDA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Femmes et religions ; les nouveaux mouvements religieux* ;</w:t>
            </w:r>
          </w:p>
          <w:p w14:paraId="540D5F6B" w14:textId="77777777" w:rsidR="00BB7E92" w:rsidRPr="00BB7E92" w:rsidRDefault="00BB7E92" w:rsidP="00BB7E9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B7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Révision sur les autres thèmes de l’étape 1 et 2 et sur la démarche éthique</w:t>
            </w:r>
          </w:p>
          <w:p w14:paraId="59D8D9DA" w14:textId="201262F1" w:rsidR="00B252DF" w:rsidRPr="00F60753" w:rsidRDefault="00BB7E92" w:rsidP="00BB7E9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B7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Questions éthiques ; le dialogue ;</w:t>
            </w:r>
          </w:p>
        </w:tc>
      </w:tr>
    </w:tbl>
    <w:p w14:paraId="4961FF32" w14:textId="77777777" w:rsidR="0058322F" w:rsidRDefault="0058322F"/>
    <w:p w14:paraId="4F8805CB" w14:textId="77777777" w:rsidR="00470804" w:rsidRDefault="0047080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25"/>
        <w:gridCol w:w="5365"/>
      </w:tblGrid>
      <w:tr w:rsidR="00460300" w:rsidRPr="00BA6EF6" w14:paraId="776EC6A6" w14:textId="77777777" w:rsidTr="0013323B">
        <w:tc>
          <w:tcPr>
            <w:tcW w:w="2514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053146A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6E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Matériel pédagogique </w:t>
            </w:r>
            <w:r w:rsidR="0013323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</w:r>
            <w:r w:rsidRPr="00BA6E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2486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42EDE9" w14:textId="77777777" w:rsidR="00761D59" w:rsidRDefault="00460300" w:rsidP="00470804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A6E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Organisation, approche</w:t>
            </w:r>
            <w:r w:rsidR="0013323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</w:t>
            </w:r>
            <w:r w:rsidRPr="00BA6E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pédagogiques et </w:t>
            </w:r>
          </w:p>
          <w:p w14:paraId="68AE07D1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6E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exigences particulières</w:t>
            </w:r>
          </w:p>
        </w:tc>
      </w:tr>
      <w:tr w:rsidR="00460300" w:rsidRPr="00BA6EF6" w14:paraId="659C9C76" w14:textId="77777777" w:rsidTr="0013323B">
        <w:tc>
          <w:tcPr>
            <w:tcW w:w="2514" w:type="pct"/>
            <w:tcBorders>
              <w:right w:val="single" w:sz="24" w:space="0" w:color="auto"/>
            </w:tcBorders>
          </w:tcPr>
          <w:p w14:paraId="6FC7B375" w14:textId="77777777" w:rsidR="00460300" w:rsidRPr="00BA6EF6" w:rsidRDefault="00460300" w:rsidP="0047080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3C71BC" w14:textId="48C66089" w:rsidR="00460300" w:rsidRPr="00F90F65" w:rsidRDefault="003828C3" w:rsidP="004708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Cahier d’exercice : </w:t>
            </w:r>
            <w:r w:rsidR="00F90F65" w:rsidRPr="00F90F65">
              <w:rPr>
                <w:rFonts w:cs="Times"/>
                <w:color w:val="000000"/>
                <w:sz w:val="20"/>
                <w:szCs w:val="20"/>
              </w:rPr>
              <w:t>Tisser des liens, Éditions CEC</w:t>
            </w:r>
            <w:r w:rsidR="00F90F65" w:rsidRPr="00F90F65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</w:p>
          <w:p w14:paraId="38E4183B" w14:textId="77777777" w:rsidR="003828C3" w:rsidRPr="00460173" w:rsidRDefault="003828C3" w:rsidP="004708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1826E98" w14:textId="77777777" w:rsidR="00460300" w:rsidRPr="00BA6EF6" w:rsidRDefault="003828C3" w:rsidP="004708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Cahier de notes </w:t>
            </w:r>
          </w:p>
          <w:p w14:paraId="23D98AEC" w14:textId="77777777" w:rsidR="00460300" w:rsidRPr="00BA6EF6" w:rsidRDefault="00460300" w:rsidP="0057649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34112" w14:textId="77777777" w:rsidR="00460300" w:rsidRPr="00BA6EF6" w:rsidRDefault="00460300" w:rsidP="004708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6" w:type="pct"/>
            <w:tcBorders>
              <w:left w:val="single" w:sz="24" w:space="0" w:color="auto"/>
            </w:tcBorders>
          </w:tcPr>
          <w:p w14:paraId="56D4385D" w14:textId="77777777" w:rsidR="00460300" w:rsidRPr="00BA6EF6" w:rsidRDefault="00460300" w:rsidP="004708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683261F" w14:textId="77777777" w:rsidR="00C718BB" w:rsidRPr="00C718BB" w:rsidRDefault="00C718BB" w:rsidP="00C718BB">
            <w:pPr>
              <w:rPr>
                <w:b/>
                <w:i/>
                <w:sz w:val="18"/>
                <w:szCs w:val="18"/>
              </w:rPr>
            </w:pPr>
            <w:r w:rsidRPr="00C718BB">
              <w:rPr>
                <w:b/>
                <w:i/>
                <w:sz w:val="18"/>
                <w:szCs w:val="18"/>
              </w:rPr>
              <w:t>Développer l’esprit critique</w:t>
            </w:r>
            <w:r w:rsidR="00F05F13">
              <w:rPr>
                <w:b/>
                <w:i/>
                <w:sz w:val="18"/>
                <w:szCs w:val="18"/>
              </w:rPr>
              <w:t>.</w:t>
            </w:r>
            <w:r w:rsidRPr="00C718BB">
              <w:rPr>
                <w:b/>
                <w:i/>
                <w:sz w:val="18"/>
                <w:szCs w:val="18"/>
              </w:rPr>
              <w:t xml:space="preserve"> </w:t>
            </w:r>
          </w:p>
          <w:p w14:paraId="105A410A" w14:textId="77777777" w:rsidR="00C718BB" w:rsidRPr="00C718BB" w:rsidRDefault="00C718BB" w:rsidP="00C718BB">
            <w:pPr>
              <w:rPr>
                <w:b/>
                <w:i/>
                <w:sz w:val="18"/>
                <w:szCs w:val="18"/>
              </w:rPr>
            </w:pPr>
            <w:r w:rsidRPr="00C718BB">
              <w:rPr>
                <w:b/>
                <w:i/>
                <w:sz w:val="18"/>
                <w:szCs w:val="18"/>
              </w:rPr>
              <w:t>Manifester du respect à l’égard du phénomène religieux</w:t>
            </w:r>
            <w:r w:rsidR="00F05F13">
              <w:rPr>
                <w:b/>
                <w:i/>
                <w:sz w:val="18"/>
                <w:szCs w:val="18"/>
              </w:rPr>
              <w:t>.</w:t>
            </w:r>
          </w:p>
          <w:p w14:paraId="717DE4F0" w14:textId="77777777" w:rsidR="00C718BB" w:rsidRPr="00C718BB" w:rsidRDefault="00C718BB" w:rsidP="00C718BB">
            <w:pPr>
              <w:rPr>
                <w:sz w:val="18"/>
                <w:szCs w:val="18"/>
              </w:rPr>
            </w:pPr>
            <w:r w:rsidRPr="00C718BB">
              <w:rPr>
                <w:sz w:val="18"/>
                <w:szCs w:val="18"/>
              </w:rPr>
              <w:t>Approche par projet, cours magistraux, mise en situation</w:t>
            </w:r>
            <w:r w:rsidR="0099206B">
              <w:rPr>
                <w:sz w:val="18"/>
                <w:szCs w:val="18"/>
              </w:rPr>
              <w:t>;</w:t>
            </w:r>
          </w:p>
          <w:p w14:paraId="05C4AFE5" w14:textId="77777777" w:rsidR="00C718BB" w:rsidRPr="00BA6EF6" w:rsidRDefault="00C718BB" w:rsidP="00C718BB">
            <w:pPr>
              <w:rPr>
                <w:rFonts w:asciiTheme="minorHAnsi" w:hAnsiTheme="minorHAnsi"/>
                <w:sz w:val="18"/>
                <w:szCs w:val="18"/>
              </w:rPr>
            </w:pPr>
            <w:r w:rsidRPr="00C718BB">
              <w:rPr>
                <w:sz w:val="18"/>
                <w:szCs w:val="18"/>
              </w:rPr>
              <w:t>Ponctualité et assiduité; discipline personnelle et effort; responsabilité; participation active au cours tant dans les travaux individuels que d’équipe; respect envers les autres élèves, l’enseignant et l’environnement</w:t>
            </w:r>
            <w:r w:rsidR="00F05F13">
              <w:rPr>
                <w:sz w:val="18"/>
                <w:szCs w:val="18"/>
              </w:rPr>
              <w:t>.</w:t>
            </w:r>
          </w:p>
        </w:tc>
      </w:tr>
      <w:tr w:rsidR="00460300" w:rsidRPr="00BA6EF6" w14:paraId="01BED6EC" w14:textId="77777777" w:rsidTr="0013323B">
        <w:tc>
          <w:tcPr>
            <w:tcW w:w="2514" w:type="pct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B4484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6E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Devoirs et leçons</w:t>
            </w:r>
          </w:p>
        </w:tc>
        <w:tc>
          <w:tcPr>
            <w:tcW w:w="2486" w:type="pc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AF05A23" w14:textId="77777777" w:rsidR="00460300" w:rsidRPr="00BA6EF6" w:rsidRDefault="00460300" w:rsidP="004708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A6EF6">
              <w:rPr>
                <w:rFonts w:asciiTheme="minorHAnsi" w:hAnsiTheme="minorHAnsi" w:cs="Times New Roman"/>
                <w:b/>
                <w:sz w:val="24"/>
                <w:szCs w:val="24"/>
              </w:rPr>
              <w:t>Récupération et enrichissement</w:t>
            </w:r>
          </w:p>
        </w:tc>
      </w:tr>
      <w:tr w:rsidR="00460300" w:rsidRPr="00BA6EF6" w14:paraId="2942C8F2" w14:textId="77777777" w:rsidTr="0013323B">
        <w:tc>
          <w:tcPr>
            <w:tcW w:w="2514" w:type="pct"/>
            <w:tcBorders>
              <w:right w:val="single" w:sz="24" w:space="0" w:color="auto"/>
            </w:tcBorders>
          </w:tcPr>
          <w:p w14:paraId="1147C5EC" w14:textId="77777777" w:rsidR="00460300" w:rsidRPr="00BA6EF6" w:rsidRDefault="00460300" w:rsidP="00470804">
            <w:pPr>
              <w:rPr>
                <w:rFonts w:asciiTheme="minorHAnsi" w:hAnsiTheme="minorHAnsi"/>
              </w:rPr>
            </w:pPr>
          </w:p>
          <w:p w14:paraId="0980AC55" w14:textId="77777777" w:rsidR="005770A2" w:rsidRPr="003828C3" w:rsidRDefault="003828C3" w:rsidP="005770A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828C3">
              <w:rPr>
                <w:rFonts w:asciiTheme="minorHAnsi" w:hAnsiTheme="minorHAnsi" w:cs="Times New Roman"/>
                <w:sz w:val="18"/>
                <w:szCs w:val="18"/>
              </w:rPr>
              <w:t>Selon les thèmes abordés et le rythme des élèves.</w:t>
            </w:r>
          </w:p>
          <w:p w14:paraId="027416D0" w14:textId="77777777" w:rsidR="00460300" w:rsidRPr="00BA6EF6" w:rsidRDefault="00460300" w:rsidP="00470804">
            <w:pPr>
              <w:rPr>
                <w:rFonts w:asciiTheme="minorHAnsi" w:hAnsiTheme="minorHAnsi"/>
              </w:rPr>
            </w:pPr>
          </w:p>
          <w:p w14:paraId="3A9BDE76" w14:textId="77777777" w:rsidR="00460300" w:rsidRPr="00BA6EF6" w:rsidRDefault="00460300" w:rsidP="0057649B">
            <w:pPr>
              <w:rPr>
                <w:rFonts w:asciiTheme="minorHAnsi" w:hAnsiTheme="minorHAnsi"/>
              </w:rPr>
            </w:pPr>
          </w:p>
        </w:tc>
        <w:tc>
          <w:tcPr>
            <w:tcW w:w="2486" w:type="pct"/>
            <w:tcBorders>
              <w:left w:val="single" w:sz="24" w:space="0" w:color="auto"/>
            </w:tcBorders>
          </w:tcPr>
          <w:p w14:paraId="08B237DA" w14:textId="77777777" w:rsidR="005770A2" w:rsidRPr="005770A2" w:rsidRDefault="003828C3" w:rsidP="00577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Récupération une fois par semaine sur l’heure du dîner.</w:t>
            </w:r>
          </w:p>
          <w:p w14:paraId="38156EA7" w14:textId="77777777" w:rsidR="00460300" w:rsidRPr="00BA6EF6" w:rsidRDefault="005770A2" w:rsidP="003828C3">
            <w:pPr>
              <w:rPr>
                <w:rFonts w:asciiTheme="minorHAnsi" w:hAnsiTheme="minorHAnsi"/>
              </w:rPr>
            </w:pPr>
            <w:r w:rsidRPr="005770A2">
              <w:rPr>
                <w:sz w:val="18"/>
                <w:szCs w:val="18"/>
              </w:rPr>
              <w:t>L’enrichissement du cours se fait à p</w:t>
            </w:r>
            <w:r w:rsidR="003828C3">
              <w:rPr>
                <w:sz w:val="18"/>
                <w:szCs w:val="18"/>
              </w:rPr>
              <w:t>artir de liens avec l’actualité et lors des ateliers en classe.</w:t>
            </w:r>
          </w:p>
        </w:tc>
      </w:tr>
    </w:tbl>
    <w:p w14:paraId="0223C24F" w14:textId="77777777" w:rsidR="0057649B" w:rsidRDefault="0057649B"/>
    <w:p w14:paraId="30E214BC" w14:textId="77777777" w:rsidR="006D2055" w:rsidRDefault="006D2055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80"/>
        <w:gridCol w:w="8110"/>
      </w:tblGrid>
      <w:tr w:rsidR="0057649B" w14:paraId="45BB8E0C" w14:textId="77777777" w:rsidTr="0013323B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C424770" w14:textId="77777777" w:rsidR="0057649B" w:rsidRPr="00CD592D" w:rsidRDefault="0057649B" w:rsidP="00761D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Éthique et culture religieuse</w:t>
            </w:r>
            <w:r w:rsidRPr="00CD592D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28"/>
                <w:szCs w:val="28"/>
              </w:rPr>
              <w:t>1</w:t>
            </w:r>
            <w:r w:rsidRPr="0057649B">
              <w:rPr>
                <w:b/>
                <w:sz w:val="28"/>
                <w:szCs w:val="28"/>
                <w:vertAlign w:val="superscript"/>
              </w:rPr>
              <w:t>re</w:t>
            </w:r>
            <w:r>
              <w:rPr>
                <w:b/>
                <w:sz w:val="28"/>
                <w:szCs w:val="28"/>
              </w:rPr>
              <w:t xml:space="preserve"> secondaire</w:t>
            </w:r>
            <w:r w:rsidR="008B09B4">
              <w:rPr>
                <w:b/>
                <w:sz w:val="28"/>
                <w:szCs w:val="28"/>
              </w:rPr>
              <w:t>, 069102</w:t>
            </w:r>
          </w:p>
        </w:tc>
      </w:tr>
      <w:tr w:rsidR="0057649B" w14:paraId="43F59B4A" w14:textId="77777777" w:rsidTr="0013323B">
        <w:tc>
          <w:tcPr>
            <w:tcW w:w="5000" w:type="pct"/>
            <w:gridSpan w:val="2"/>
            <w:shd w:val="clear" w:color="auto" w:fill="000000" w:themeFill="text1"/>
          </w:tcPr>
          <w:p w14:paraId="47452DAA" w14:textId="77777777" w:rsidR="0057649B" w:rsidRPr="00FA5FDB" w:rsidRDefault="0057649B" w:rsidP="0013323B">
            <w:pPr>
              <w:jc w:val="center"/>
              <w:rPr>
                <w:sz w:val="28"/>
                <w:szCs w:val="28"/>
              </w:rPr>
            </w:pPr>
            <w:r w:rsidRPr="00FA5FDB">
              <w:rPr>
                <w:sz w:val="28"/>
                <w:szCs w:val="28"/>
              </w:rPr>
              <w:t>Compétences développées par l’élève</w:t>
            </w:r>
          </w:p>
        </w:tc>
      </w:tr>
      <w:tr w:rsidR="0057649B" w14:paraId="72D0CF81" w14:textId="77777777" w:rsidTr="0013323B">
        <w:tc>
          <w:tcPr>
            <w:tcW w:w="1242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40533921" w14:textId="77777777" w:rsidR="0057649B" w:rsidRDefault="0057649B" w:rsidP="0013323B">
            <w:pPr>
              <w:jc w:val="center"/>
              <w:rPr>
                <w:b/>
                <w:sz w:val="20"/>
                <w:szCs w:val="20"/>
              </w:rPr>
            </w:pPr>
          </w:p>
          <w:p w14:paraId="53C37942" w14:textId="77777777" w:rsidR="0057649B" w:rsidRPr="00302A13" w:rsidRDefault="0057649B" w:rsidP="0013323B">
            <w:pPr>
              <w:jc w:val="center"/>
              <w:rPr>
                <w:b/>
                <w:sz w:val="20"/>
                <w:szCs w:val="20"/>
              </w:rPr>
            </w:pPr>
            <w:r w:rsidRPr="00302A13">
              <w:rPr>
                <w:b/>
                <w:sz w:val="20"/>
                <w:szCs w:val="20"/>
              </w:rPr>
              <w:t>Réfléchir sur des questions éthiques</w:t>
            </w:r>
          </w:p>
          <w:p w14:paraId="0D0FC3C1" w14:textId="77777777" w:rsidR="0057649B" w:rsidRPr="00302A13" w:rsidRDefault="0057649B" w:rsidP="001332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8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30D5705F" w14:textId="77777777" w:rsidR="00775FEF" w:rsidRPr="00AC0AFF" w:rsidRDefault="007337D6" w:rsidP="007337D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 éthique, l’élève réfléchit</w:t>
            </w:r>
            <w:r w:rsidR="00775FEF" w:rsidRPr="00AC0AFF">
              <w:rPr>
                <w:rFonts w:asciiTheme="minorHAnsi" w:hAnsiTheme="minorHAnsi" w:cs="Arial"/>
                <w:sz w:val="16"/>
                <w:szCs w:val="16"/>
              </w:rPr>
              <w:t>, à partir de situations complexes et plus ou moins familières, sur des questions qui touchent la liberté, l’autonomie et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l’ordre social. Il poursuit</w:t>
            </w:r>
            <w:r w:rsidR="00775FEF" w:rsidRPr="00AC0AF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son</w:t>
            </w:r>
            <w:r w:rsidR="00775FEF" w:rsidRPr="00AC0AFF">
              <w:rPr>
                <w:rFonts w:asciiTheme="minorHAnsi" w:hAnsiTheme="minorHAnsi" w:cs="Arial"/>
                <w:sz w:val="16"/>
                <w:szCs w:val="16"/>
              </w:rPr>
              <w:t xml:space="preserve"> analyse des valeurs et des normes propres à des groupes, à des institutions et à des organisations en s’intéressant, notamment, à ce qui en explique leur présence et leur transformation dans une société donnée.</w:t>
            </w:r>
          </w:p>
          <w:p w14:paraId="0744BB44" w14:textId="77777777" w:rsidR="0057649B" w:rsidRPr="00AC0AFF" w:rsidRDefault="0057649B" w:rsidP="007337D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57649B" w14:paraId="62C2CBD7" w14:textId="77777777" w:rsidTr="0013323B">
        <w:trPr>
          <w:trHeight w:val="953"/>
        </w:trPr>
        <w:tc>
          <w:tcPr>
            <w:tcW w:w="1242" w:type="pct"/>
            <w:tcBorders>
              <w:top w:val="dashed" w:sz="4" w:space="0" w:color="auto"/>
              <w:bottom w:val="dashed" w:sz="4" w:space="0" w:color="auto"/>
            </w:tcBorders>
          </w:tcPr>
          <w:p w14:paraId="4FB583B8" w14:textId="77777777" w:rsidR="0057649B" w:rsidRDefault="0057649B" w:rsidP="00AC0AFF">
            <w:pPr>
              <w:rPr>
                <w:b/>
                <w:sz w:val="20"/>
                <w:szCs w:val="20"/>
              </w:rPr>
            </w:pPr>
          </w:p>
          <w:p w14:paraId="018B0D6D" w14:textId="77777777" w:rsidR="0057649B" w:rsidRPr="00BC609C" w:rsidRDefault="0057649B" w:rsidP="0013323B">
            <w:pPr>
              <w:jc w:val="center"/>
              <w:rPr>
                <w:b/>
                <w:sz w:val="20"/>
                <w:szCs w:val="20"/>
              </w:rPr>
            </w:pPr>
            <w:r w:rsidRPr="00302A13">
              <w:rPr>
                <w:b/>
                <w:sz w:val="20"/>
                <w:szCs w:val="20"/>
              </w:rPr>
              <w:t>Manifester une compréhension du phénomène religieux</w:t>
            </w:r>
          </w:p>
        </w:tc>
        <w:tc>
          <w:tcPr>
            <w:tcW w:w="3758" w:type="pct"/>
            <w:tcBorders>
              <w:top w:val="dashed" w:sz="4" w:space="0" w:color="auto"/>
              <w:bottom w:val="dashed" w:sz="4" w:space="0" w:color="auto"/>
            </w:tcBorders>
          </w:tcPr>
          <w:p w14:paraId="4E8ED16F" w14:textId="77777777" w:rsidR="00AC0AFF" w:rsidRPr="00AC0AFF" w:rsidRDefault="00AC0AFF" w:rsidP="007337D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C0AFF">
              <w:rPr>
                <w:rFonts w:asciiTheme="minorHAnsi" w:hAnsiTheme="minorHAnsi" w:cs="Arial"/>
                <w:sz w:val="16"/>
                <w:szCs w:val="16"/>
              </w:rPr>
              <w:t>En culture religieuse, la compétence se développe à partir de situations complexes e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>t plus ou moins familières. L’élève approfondit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 xml:space="preserve">sa 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>compréhension du phénomène religieux en s’intéressant au patrimoine religieux québécois, aux éléments fondamentaux des traditions religieuses et à différentes représentations du divin et des êtres mythiques et surnaturels. Pour mieux comprendre des expressions du religieux issues du christianism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>e et d’autres traditions, l’élève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examine divers types de récits,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 xml:space="preserve"> de rites et de règles et doi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 xml:space="preserve"> apprendre à les distinguer. Il est également amené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à découvrir la dimension symbolique du religieux.</w:t>
            </w:r>
          </w:p>
          <w:p w14:paraId="58056A10" w14:textId="77777777" w:rsidR="0057649B" w:rsidRPr="00AC0AFF" w:rsidRDefault="0057649B" w:rsidP="007337D6">
            <w:pPr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57649B" w14:paraId="008076A7" w14:textId="77777777" w:rsidTr="0013323B">
        <w:trPr>
          <w:trHeight w:val="810"/>
        </w:trPr>
        <w:tc>
          <w:tcPr>
            <w:tcW w:w="1242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6612E3C0" w14:textId="77777777" w:rsidR="0057649B" w:rsidRDefault="0057649B" w:rsidP="0013323B">
            <w:pPr>
              <w:jc w:val="center"/>
              <w:rPr>
                <w:b/>
                <w:sz w:val="20"/>
                <w:szCs w:val="20"/>
              </w:rPr>
            </w:pPr>
          </w:p>
          <w:p w14:paraId="7DB8251F" w14:textId="77777777" w:rsidR="0057649B" w:rsidRPr="00F32505" w:rsidRDefault="0057649B" w:rsidP="0013323B">
            <w:pPr>
              <w:jc w:val="center"/>
              <w:rPr>
                <w:b/>
                <w:sz w:val="20"/>
                <w:szCs w:val="20"/>
              </w:rPr>
            </w:pPr>
            <w:r w:rsidRPr="00302A13">
              <w:rPr>
                <w:b/>
                <w:sz w:val="20"/>
                <w:szCs w:val="20"/>
              </w:rPr>
              <w:t>Pratiquer le dialogue</w:t>
            </w:r>
          </w:p>
        </w:tc>
        <w:tc>
          <w:tcPr>
            <w:tcW w:w="3758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1C751771" w14:textId="77777777" w:rsidR="00AC0AFF" w:rsidRPr="00AC0AFF" w:rsidRDefault="00AC0AFF" w:rsidP="007337D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C0AFF">
              <w:rPr>
                <w:rFonts w:asciiTheme="minorHAnsi" w:hAnsiTheme="minorHAnsi" w:cs="Arial"/>
                <w:sz w:val="16"/>
                <w:szCs w:val="16"/>
              </w:rPr>
              <w:t>Pour cette troisième compétence, qui se dé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>veloppe avec les deux autres, l’élève apprend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à se connaître, à donner son idée, à écouter 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>l’idée des autres avec respect,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à échanger sur des idées différentes afin 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>de mieux connaître un sujet. Il consolide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l’apprentissage des six formes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 xml:space="preserve"> de dialogue présentées au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primaire (la narration, la conversation, la discussion, la délibération, l’entrevue et </w:t>
            </w:r>
            <w:r w:rsidR="007337D6">
              <w:rPr>
                <w:rFonts w:asciiTheme="minorHAnsi" w:hAnsiTheme="minorHAnsi" w:cs="Arial"/>
                <w:sz w:val="16"/>
                <w:szCs w:val="16"/>
              </w:rPr>
              <w:t>le débat) et se familiarise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avec la table ronde.</w:t>
            </w:r>
          </w:p>
          <w:p w14:paraId="53110338" w14:textId="77777777" w:rsidR="00A1783D" w:rsidRPr="00A1783D" w:rsidRDefault="00A1783D" w:rsidP="007337D6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4EB56BE3" w14:textId="77777777" w:rsidR="00AC0AFF" w:rsidRPr="00AC0AFF" w:rsidRDefault="00AC0AFF" w:rsidP="007337D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C0AFF">
              <w:rPr>
                <w:rFonts w:asciiTheme="minorHAnsi" w:hAnsiTheme="minorHAnsi" w:cs="Arial"/>
                <w:sz w:val="16"/>
                <w:szCs w:val="16"/>
              </w:rPr>
              <w:t>Afin de fav</w:t>
            </w:r>
            <w:r w:rsidR="007658A7">
              <w:rPr>
                <w:rFonts w:asciiTheme="minorHAnsi" w:hAnsiTheme="minorHAnsi" w:cs="Arial"/>
                <w:sz w:val="16"/>
                <w:szCs w:val="16"/>
              </w:rPr>
              <w:t>oriser le dialogue, il utilise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différents moyens pour élaborer son point de vue comportant des éléments pertinents</w:t>
            </w:r>
            <w:r w:rsidR="007658A7">
              <w:rPr>
                <w:rFonts w:asciiTheme="minorHAnsi" w:hAnsiTheme="minorHAnsi" w:cs="Arial"/>
                <w:sz w:val="16"/>
                <w:szCs w:val="16"/>
              </w:rPr>
              <w:t xml:space="preserve">, cohérents et suffisants dont 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>la description, la comparaison</w:t>
            </w:r>
            <w:r w:rsidR="007658A7">
              <w:rPr>
                <w:rFonts w:asciiTheme="minorHAnsi" w:hAnsiTheme="minorHAnsi" w:cs="Arial"/>
                <w:sz w:val="16"/>
                <w:szCs w:val="16"/>
              </w:rPr>
              <w:t>, l’explication, la synthèse et la justification. L’élève prend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conscience de l’existence de différents moyens pour interroger des idées afin de reconnaître les jugements d</w:t>
            </w:r>
            <w:r w:rsidR="0016166A">
              <w:rPr>
                <w:rFonts w:asciiTheme="minorHAnsi" w:hAnsiTheme="minorHAnsi" w:cs="Arial"/>
                <w:sz w:val="16"/>
                <w:szCs w:val="16"/>
              </w:rPr>
              <w:t>e préférence, de prescription,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de réalité et de valeurs. Aux procédés susceptibles de nuire </w:t>
            </w:r>
            <w:r w:rsidR="00102FDE" w:rsidRPr="00AC0AFF">
              <w:rPr>
                <w:rFonts w:asciiTheme="minorHAnsi" w:hAnsiTheme="minorHAnsi" w:cs="Arial"/>
                <w:sz w:val="16"/>
                <w:szCs w:val="16"/>
              </w:rPr>
              <w:t>au dialogue présenté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au primaire tels que la généralisation abusive, l’attaque</w:t>
            </w:r>
            <w:r w:rsidR="00866535">
              <w:rPr>
                <w:rFonts w:asciiTheme="minorHAnsi" w:hAnsiTheme="minorHAnsi" w:cs="Arial"/>
                <w:sz w:val="16"/>
                <w:szCs w:val="16"/>
              </w:rPr>
              <w:t xml:space="preserve"> personnelle, l’appel au clan,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la popularité, </w:t>
            </w:r>
            <w:r w:rsidR="00866535">
              <w:rPr>
                <w:rFonts w:asciiTheme="minorHAnsi" w:hAnsiTheme="minorHAnsi" w:cs="Arial"/>
                <w:sz w:val="16"/>
                <w:szCs w:val="16"/>
              </w:rPr>
              <w:t>le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préjugé, </w:t>
            </w:r>
            <w:r w:rsidR="00866535">
              <w:rPr>
                <w:rFonts w:asciiTheme="minorHAnsi" w:hAnsiTheme="minorHAnsi" w:cs="Arial"/>
                <w:sz w:val="16"/>
                <w:szCs w:val="16"/>
              </w:rPr>
              <w:t>le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 stéréotype et l’argument d’autorité</w:t>
            </w:r>
            <w:r w:rsidR="0086653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s’ajoutent </w:t>
            </w:r>
            <w:r w:rsidR="0016166A">
              <w:rPr>
                <w:rFonts w:asciiTheme="minorHAnsi" w:hAnsiTheme="minorHAnsi" w:cs="Arial"/>
                <w:sz w:val="16"/>
                <w:szCs w:val="16"/>
              </w:rPr>
              <w:t xml:space="preserve">les procédés suivants : </w:t>
            </w:r>
            <w:r w:rsidRPr="00AC0AFF">
              <w:rPr>
                <w:rFonts w:asciiTheme="minorHAnsi" w:hAnsiTheme="minorHAnsi" w:cs="Arial"/>
                <w:sz w:val="16"/>
                <w:szCs w:val="16"/>
              </w:rPr>
              <w:t xml:space="preserve">la double faute, la caricature, le faux dilemme, la fausse causalité, la fausse analogie, la pente fatale et le complot. </w:t>
            </w:r>
          </w:p>
          <w:p w14:paraId="20F8B690" w14:textId="77777777" w:rsidR="0057649B" w:rsidRPr="00AC0AFF" w:rsidRDefault="0057649B" w:rsidP="007337D6">
            <w:pPr>
              <w:jc w:val="both"/>
              <w:rPr>
                <w:rFonts w:asciiTheme="minorHAnsi" w:hAnsiTheme="minorHAnsi" w:cs="Times New Roman"/>
                <w:b/>
                <w:iCs/>
                <w:sz w:val="16"/>
                <w:szCs w:val="16"/>
              </w:rPr>
            </w:pPr>
          </w:p>
        </w:tc>
      </w:tr>
      <w:tr w:rsidR="0057649B" w14:paraId="35BB81F4" w14:textId="77777777" w:rsidTr="0013323B">
        <w:trPr>
          <w:trHeight w:val="810"/>
        </w:trPr>
        <w:tc>
          <w:tcPr>
            <w:tcW w:w="5000" w:type="pct"/>
            <w:gridSpan w:val="2"/>
            <w:shd w:val="clear" w:color="auto" w:fill="FFFFFF" w:themeFill="background1"/>
          </w:tcPr>
          <w:p w14:paraId="5B548AF4" w14:textId="77777777" w:rsidR="00F9598C" w:rsidRDefault="00F9598C" w:rsidP="0013323B">
            <w:pPr>
              <w:ind w:left="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563ABE0" w14:textId="77777777" w:rsidR="00775FEF" w:rsidRPr="00761D59" w:rsidRDefault="00775FEF" w:rsidP="00775FE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Le programme d’éthique et culture religieuse offre 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à tous les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 élèves les outils nécessaires </w:t>
            </w:r>
            <w:r w:rsidR="003E3811">
              <w:rPr>
                <w:rFonts w:asciiTheme="minorHAnsi" w:hAnsiTheme="minorHAnsi" w:cs="Arial"/>
                <w:sz w:val="16"/>
                <w:szCs w:val="16"/>
              </w:rPr>
              <w:t>pour développer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 une meilleure compréhension de notre s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ociété et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 de son héritage culturel et religieux. 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En poursuivant les deux finalités de ce programme (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>la reconnaissance de l’autre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 xml:space="preserve"> et la poursuite du bien commun)</w:t>
            </w:r>
            <w:r w:rsidR="00DB2D76">
              <w:rPr>
                <w:rFonts w:asciiTheme="minorHAnsi" w:hAnsiTheme="minorHAnsi" w:cs="Arial"/>
                <w:sz w:val="16"/>
                <w:szCs w:val="16"/>
              </w:rPr>
              <w:t>, l’élève apprend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 : </w:t>
            </w:r>
          </w:p>
          <w:p w14:paraId="6BC591A1" w14:textId="77777777" w:rsidR="00775FEF" w:rsidRPr="00761D59" w:rsidRDefault="00775FEF" w:rsidP="00CD474D">
            <w:pPr>
              <w:numPr>
                <w:ilvl w:val="0"/>
                <w:numId w:val="2"/>
              </w:numPr>
              <w:ind w:left="709" w:hanging="218"/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à se connaître et 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 xml:space="preserve">à 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>reconnaître l’autre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 xml:space="preserve">; </w:t>
            </w:r>
          </w:p>
          <w:p w14:paraId="1570C4DA" w14:textId="77777777" w:rsidR="00775FEF" w:rsidRPr="00761D59" w:rsidRDefault="00775FEF" w:rsidP="00CD474D">
            <w:pPr>
              <w:numPr>
                <w:ilvl w:val="0"/>
                <w:numId w:val="2"/>
              </w:numPr>
              <w:ind w:left="709" w:hanging="218"/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>à exprimer ses valeurs personnelles et ses convictions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14:paraId="223CA04F" w14:textId="77777777" w:rsidR="00775FEF" w:rsidRPr="00761D59" w:rsidRDefault="00775FEF" w:rsidP="00CD474D">
            <w:pPr>
              <w:numPr>
                <w:ilvl w:val="0"/>
                <w:numId w:val="2"/>
              </w:numPr>
              <w:ind w:left="709" w:hanging="218"/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>à dialoguer en exprimant son idée et en écoutant avec respect l’idée des autres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14:paraId="0ADECA9F" w14:textId="77777777" w:rsidR="00775FEF" w:rsidRPr="00761D59" w:rsidRDefault="00775FEF" w:rsidP="00CD474D">
            <w:pPr>
              <w:numPr>
                <w:ilvl w:val="0"/>
                <w:numId w:val="2"/>
              </w:numPr>
              <w:ind w:left="709" w:hanging="218"/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>à rechercher avec les autres des valeurs communes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14:paraId="200FFA06" w14:textId="77777777" w:rsidR="00775FEF" w:rsidRPr="00761D59" w:rsidRDefault="00775FEF" w:rsidP="00CD474D">
            <w:pPr>
              <w:numPr>
                <w:ilvl w:val="0"/>
                <w:numId w:val="2"/>
              </w:numPr>
              <w:ind w:left="709" w:hanging="218"/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>à reconnaître des projets qui favorisent le vivre-ensemble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14:paraId="1FF77DDE" w14:textId="77777777" w:rsidR="00F9598C" w:rsidRPr="005F0F61" w:rsidRDefault="00775FEF" w:rsidP="005F0F61">
            <w:pPr>
              <w:numPr>
                <w:ilvl w:val="0"/>
                <w:numId w:val="2"/>
              </w:numPr>
              <w:ind w:left="709" w:hanging="218"/>
              <w:rPr>
                <w:rFonts w:asciiTheme="minorHAnsi" w:hAnsiTheme="minorHAnsi" w:cs="Arial"/>
                <w:sz w:val="16"/>
                <w:szCs w:val="16"/>
              </w:rPr>
            </w:pPr>
            <w:r w:rsidRPr="00761D59">
              <w:rPr>
                <w:rFonts w:asciiTheme="minorHAnsi" w:hAnsiTheme="minorHAnsi" w:cs="Arial"/>
                <w:sz w:val="16"/>
                <w:szCs w:val="16"/>
              </w:rPr>
              <w:t>à mieux connaître les fondements de la société québécoise</w:t>
            </w:r>
            <w:r w:rsidR="00F377FB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61D5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74A45E46" w14:textId="77777777" w:rsidR="005F0F61" w:rsidRDefault="005F0F61" w:rsidP="005F0F61">
            <w:pPr>
              <w:rPr>
                <w:rFonts w:cs="Times New Roman"/>
                <w:sz w:val="18"/>
                <w:szCs w:val="18"/>
              </w:rPr>
            </w:pPr>
          </w:p>
          <w:p w14:paraId="60C19F36" w14:textId="77777777" w:rsidR="0057649B" w:rsidRPr="00BC609C" w:rsidRDefault="0057649B" w:rsidP="0013323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C609C">
              <w:rPr>
                <w:rFonts w:cs="Times New Roman"/>
                <w:sz w:val="18"/>
                <w:szCs w:val="18"/>
              </w:rPr>
              <w:t>Le programme d’Éthique et culture religieuse comprend trois compétences à développer.</w:t>
            </w:r>
          </w:p>
          <w:p w14:paraId="7F05B726" w14:textId="77777777" w:rsidR="0057649B" w:rsidRPr="00BC609C" w:rsidRDefault="0057649B" w:rsidP="001332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C609C">
              <w:rPr>
                <w:rFonts w:cs="Times New Roman"/>
                <w:b/>
                <w:sz w:val="18"/>
                <w:szCs w:val="18"/>
              </w:rPr>
              <w:t>Cependant, un seul résultat apparaîtra au bulletin.</w:t>
            </w:r>
          </w:p>
          <w:p w14:paraId="19503986" w14:textId="77777777" w:rsidR="0057649B" w:rsidRPr="00F86D14" w:rsidRDefault="0057649B" w:rsidP="0013323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57530EC" w14:textId="77777777" w:rsidR="00482004" w:rsidRDefault="0048200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74"/>
        <w:gridCol w:w="1217"/>
        <w:gridCol w:w="2106"/>
        <w:gridCol w:w="1215"/>
        <w:gridCol w:w="2382"/>
        <w:gridCol w:w="969"/>
        <w:gridCol w:w="827"/>
      </w:tblGrid>
      <w:tr w:rsidR="00482004" w:rsidRPr="00E44DCA" w14:paraId="37A9FA6F" w14:textId="77777777" w:rsidTr="0013323B">
        <w:trPr>
          <w:trHeight w:val="415"/>
        </w:trPr>
        <w:tc>
          <w:tcPr>
            <w:tcW w:w="5000" w:type="pct"/>
            <w:gridSpan w:val="7"/>
            <w:shd w:val="clear" w:color="auto" w:fill="000000" w:themeFill="text1"/>
          </w:tcPr>
          <w:p w14:paraId="2BE2D249" w14:textId="77777777" w:rsidR="00482004" w:rsidRPr="00E44DCA" w:rsidRDefault="00482004" w:rsidP="0013323B">
            <w:pPr>
              <w:tabs>
                <w:tab w:val="left" w:pos="2002"/>
              </w:tabs>
              <w:jc w:val="center"/>
              <w:rPr>
                <w:sz w:val="28"/>
                <w:szCs w:val="28"/>
              </w:rPr>
            </w:pPr>
            <w:r w:rsidRPr="00E44DCA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245325" w:rsidRPr="00206ACE" w14:paraId="4C42EF73" w14:textId="77777777" w:rsidTr="00245325">
        <w:trPr>
          <w:trHeight w:val="547"/>
        </w:trPr>
        <w:tc>
          <w:tcPr>
            <w:tcW w:w="1525" w:type="pct"/>
            <w:gridSpan w:val="2"/>
          </w:tcPr>
          <w:p w14:paraId="0EF94BD8" w14:textId="77777777" w:rsidR="00245325" w:rsidRDefault="0024532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14:paraId="0CDF56F1" w14:textId="67282880" w:rsidR="00245325" w:rsidRDefault="00D246DD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 30 août au 8</w:t>
            </w:r>
            <w:r w:rsidR="00245325">
              <w:rPr>
                <w:b/>
                <w:bCs/>
                <w:sz w:val="20"/>
                <w:szCs w:val="20"/>
              </w:rPr>
              <w:t xml:space="preserve"> novembre</w:t>
            </w:r>
          </w:p>
        </w:tc>
        <w:tc>
          <w:tcPr>
            <w:tcW w:w="1539" w:type="pct"/>
            <w:gridSpan w:val="2"/>
          </w:tcPr>
          <w:p w14:paraId="6F171B3D" w14:textId="77777777" w:rsidR="00245325" w:rsidRDefault="0024532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14:paraId="647CDC22" w14:textId="66B53874" w:rsidR="00245325" w:rsidRPr="00D246DD" w:rsidRDefault="00D246DD" w:rsidP="003828C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D246DD">
              <w:rPr>
                <w:rFonts w:ascii="Times" w:hAnsi="Times" w:cs="Times"/>
                <w:b/>
                <w:color w:val="000000"/>
              </w:rPr>
              <w:t>Du</w:t>
            </w:r>
            <w:r>
              <w:rPr>
                <w:rFonts w:ascii="Times" w:hAnsi="Times" w:cs="Times"/>
                <w:b/>
                <w:color w:val="000000"/>
              </w:rPr>
              <w:t xml:space="preserve"> 11 novembre au 7 février</w:t>
            </w:r>
          </w:p>
        </w:tc>
        <w:tc>
          <w:tcPr>
            <w:tcW w:w="1937" w:type="pct"/>
            <w:gridSpan w:val="3"/>
          </w:tcPr>
          <w:p w14:paraId="2515F0A0" w14:textId="77777777" w:rsidR="00245325" w:rsidRDefault="00245325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étape (60 %)</w:t>
            </w:r>
          </w:p>
          <w:p w14:paraId="55BCEFA8" w14:textId="2D2B60D5" w:rsidR="00245325" w:rsidRDefault="00245325" w:rsidP="003828C3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 </w:t>
            </w:r>
            <w:r w:rsidR="00D246DD">
              <w:rPr>
                <w:b/>
                <w:bCs/>
                <w:sz w:val="20"/>
                <w:szCs w:val="20"/>
              </w:rPr>
              <w:t>10</w:t>
            </w:r>
            <w:r w:rsidR="003828C3">
              <w:rPr>
                <w:b/>
                <w:bCs/>
                <w:sz w:val="20"/>
                <w:szCs w:val="20"/>
              </w:rPr>
              <w:t xml:space="preserve"> février au 21 juin</w:t>
            </w:r>
          </w:p>
        </w:tc>
      </w:tr>
      <w:tr w:rsidR="00482004" w:rsidRPr="00741B94" w14:paraId="5E3A277B" w14:textId="77777777" w:rsidTr="00245325">
        <w:trPr>
          <w:trHeight w:val="586"/>
        </w:trPr>
        <w:tc>
          <w:tcPr>
            <w:tcW w:w="961" w:type="pct"/>
          </w:tcPr>
          <w:p w14:paraId="3EE8EC70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563" w:type="pct"/>
          </w:tcPr>
          <w:p w14:paraId="08C3607A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6"/>
                <w:szCs w:val="16"/>
              </w:rPr>
              <w:t xml:space="preserve">Y aura-t-il </w:t>
            </w:r>
            <w:r>
              <w:rPr>
                <w:b/>
                <w:sz w:val="16"/>
                <w:szCs w:val="16"/>
              </w:rPr>
              <w:t>un résultat inscrit au bulletin</w:t>
            </w:r>
            <w:r w:rsidRPr="00741B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976" w:type="pct"/>
          </w:tcPr>
          <w:p w14:paraId="4A58EF5A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563" w:type="pct"/>
          </w:tcPr>
          <w:p w14:paraId="50E33107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6"/>
                <w:szCs w:val="16"/>
              </w:rPr>
              <w:t xml:space="preserve">Y aura-t-il </w:t>
            </w:r>
            <w:r>
              <w:rPr>
                <w:b/>
                <w:sz w:val="16"/>
                <w:szCs w:val="16"/>
              </w:rPr>
              <w:t>un résultat inscrit au bulletin</w:t>
            </w:r>
            <w:r w:rsidRPr="00741B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104" w:type="pct"/>
          </w:tcPr>
          <w:p w14:paraId="36DCB182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B92AB82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4"/>
                <w:szCs w:val="14"/>
              </w:rPr>
            </w:pPr>
            <w:r w:rsidRPr="00741B94">
              <w:rPr>
                <w:b/>
                <w:sz w:val="14"/>
                <w:szCs w:val="14"/>
              </w:rPr>
              <w:t xml:space="preserve">Épreuves obligatoires </w:t>
            </w:r>
          </w:p>
          <w:p w14:paraId="54CA678D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4"/>
                <w:szCs w:val="14"/>
              </w:rPr>
              <w:t>MELS</w:t>
            </w:r>
            <w:r>
              <w:rPr>
                <w:b/>
                <w:sz w:val="14"/>
                <w:szCs w:val="14"/>
              </w:rPr>
              <w:t xml:space="preserve"> / CS</w:t>
            </w:r>
          </w:p>
        </w:tc>
        <w:tc>
          <w:tcPr>
            <w:tcW w:w="384" w:type="pct"/>
          </w:tcPr>
          <w:p w14:paraId="73F37771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16"/>
                <w:szCs w:val="16"/>
              </w:rPr>
            </w:pPr>
            <w:r w:rsidRPr="00741B94">
              <w:rPr>
                <w:b/>
                <w:sz w:val="16"/>
                <w:szCs w:val="16"/>
              </w:rPr>
              <w:t>Résultat inscrit au bulletin</w:t>
            </w:r>
          </w:p>
        </w:tc>
      </w:tr>
      <w:tr w:rsidR="00482004" w:rsidRPr="00741B94" w14:paraId="4737BC0B" w14:textId="77777777" w:rsidTr="00245325">
        <w:trPr>
          <w:trHeight w:val="1676"/>
        </w:trPr>
        <w:tc>
          <w:tcPr>
            <w:tcW w:w="961" w:type="pct"/>
            <w:tcBorders>
              <w:bottom w:val="single" w:sz="4" w:space="0" w:color="auto"/>
            </w:tcBorders>
          </w:tcPr>
          <w:p w14:paraId="78097638" w14:textId="77777777" w:rsidR="00482004" w:rsidRDefault="00482004" w:rsidP="0013323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1E0928B3" w14:textId="77777777" w:rsid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Situations d’apprentissage et</w:t>
            </w:r>
          </w:p>
          <w:p w14:paraId="606B134C" w14:textId="77777777" w:rsidR="00482004" w:rsidRP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d’évaluations: exercice en classe, devoirs, test et examen</w:t>
            </w:r>
            <w:r w:rsidR="000B7843">
              <w:rPr>
                <w:rFonts w:eastAsiaTheme="minorHAnsi"/>
                <w:sz w:val="16"/>
                <w:szCs w:val="16"/>
              </w:rPr>
              <w:t>.</w:t>
            </w:r>
          </w:p>
          <w:p w14:paraId="2C454CBB" w14:textId="77777777" w:rsidR="00482004" w:rsidRDefault="00482004" w:rsidP="0013323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799D6823" w14:textId="77777777" w:rsidR="00482004" w:rsidRDefault="00482004" w:rsidP="0013323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26B10E7D" w14:textId="77777777" w:rsidR="00482004" w:rsidRDefault="00482004" w:rsidP="0013323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718589FA" w14:textId="77777777" w:rsidR="00482004" w:rsidRDefault="00482004" w:rsidP="0013323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  <w:p w14:paraId="2B0B4158" w14:textId="77777777" w:rsidR="00482004" w:rsidRPr="003E4F46" w:rsidRDefault="00482004" w:rsidP="0013323B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69D69AD1" w14:textId="77777777" w:rsidR="00482004" w:rsidRPr="008542EB" w:rsidRDefault="00482004" w:rsidP="0013323B">
            <w:pPr>
              <w:tabs>
                <w:tab w:val="left" w:pos="2002"/>
              </w:tabs>
              <w:rPr>
                <w:b/>
                <w:sz w:val="24"/>
                <w:szCs w:val="24"/>
              </w:rPr>
            </w:pPr>
          </w:p>
          <w:p w14:paraId="68FE3990" w14:textId="7CFF2FC1" w:rsidR="00482004" w:rsidRPr="008542EB" w:rsidRDefault="00D246DD" w:rsidP="0013323B">
            <w:pPr>
              <w:tabs>
                <w:tab w:val="left" w:pos="20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76" w:type="pct"/>
          </w:tcPr>
          <w:p w14:paraId="7BF329E4" w14:textId="77777777" w:rsidR="00482004" w:rsidRPr="008542EB" w:rsidRDefault="00482004" w:rsidP="0013323B">
            <w:pPr>
              <w:rPr>
                <w:rFonts w:cs="Times New Roman"/>
                <w:sz w:val="16"/>
                <w:szCs w:val="16"/>
              </w:rPr>
            </w:pPr>
          </w:p>
          <w:p w14:paraId="3A9B1533" w14:textId="77777777" w:rsid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Situations d’apprentissage et</w:t>
            </w:r>
          </w:p>
          <w:p w14:paraId="6A892BA7" w14:textId="77777777" w:rsid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d’évaluations : exercice en</w:t>
            </w:r>
          </w:p>
          <w:p w14:paraId="2B5C959D" w14:textId="77777777" w:rsidR="00482004" w:rsidRP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classe, devoirs, test et examen, présentation orale</w:t>
            </w:r>
            <w:r w:rsidR="000B7843">
              <w:rPr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19E469C0" w14:textId="77777777" w:rsidR="00482004" w:rsidRPr="008542EB" w:rsidRDefault="00482004" w:rsidP="0013323B">
            <w:pPr>
              <w:tabs>
                <w:tab w:val="left" w:pos="2002"/>
              </w:tabs>
              <w:rPr>
                <w:b/>
                <w:sz w:val="24"/>
                <w:szCs w:val="24"/>
              </w:rPr>
            </w:pPr>
          </w:p>
          <w:p w14:paraId="6AB9A9B0" w14:textId="77777777" w:rsidR="00482004" w:rsidRPr="008542EB" w:rsidRDefault="00482004" w:rsidP="0013323B">
            <w:pPr>
              <w:tabs>
                <w:tab w:val="left" w:pos="2002"/>
              </w:tabs>
              <w:jc w:val="center"/>
              <w:rPr>
                <w:b/>
                <w:sz w:val="24"/>
                <w:szCs w:val="24"/>
              </w:rPr>
            </w:pPr>
            <w:r w:rsidRPr="008542EB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104" w:type="pct"/>
            <w:tcBorders>
              <w:bottom w:val="single" w:sz="4" w:space="0" w:color="auto"/>
              <w:right w:val="single" w:sz="4" w:space="0" w:color="auto"/>
            </w:tcBorders>
          </w:tcPr>
          <w:p w14:paraId="6FAFB4F4" w14:textId="77777777" w:rsidR="00482004" w:rsidRPr="003E4F46" w:rsidRDefault="00482004" w:rsidP="0013323B">
            <w:pPr>
              <w:rPr>
                <w:rFonts w:cs="Times New Roman"/>
                <w:sz w:val="16"/>
                <w:szCs w:val="16"/>
              </w:rPr>
            </w:pPr>
          </w:p>
          <w:p w14:paraId="42BDE3AF" w14:textId="77777777" w:rsid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Situations d’apprentissage et</w:t>
            </w:r>
          </w:p>
          <w:p w14:paraId="09D491E9" w14:textId="77777777" w:rsidR="001555B9" w:rsidRDefault="001555B9" w:rsidP="001555B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d’évaluations : exercice en</w:t>
            </w:r>
          </w:p>
          <w:p w14:paraId="3AEE493F" w14:textId="77777777" w:rsidR="00482004" w:rsidRPr="003E4F46" w:rsidRDefault="001555B9" w:rsidP="001555B9">
            <w:pPr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eastAsiaTheme="minorHAnsi"/>
                <w:sz w:val="16"/>
                <w:szCs w:val="16"/>
              </w:rPr>
              <w:t>classe, devoirs, test et examen, présentation orale</w:t>
            </w:r>
            <w:r w:rsidR="000B7843">
              <w:rPr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CD92A" w14:textId="77777777" w:rsidR="00482004" w:rsidRPr="00741B94" w:rsidRDefault="00482004" w:rsidP="0013323B">
            <w:pPr>
              <w:rPr>
                <w:b/>
                <w:sz w:val="24"/>
                <w:szCs w:val="24"/>
              </w:rPr>
            </w:pPr>
          </w:p>
          <w:p w14:paraId="6AA413F2" w14:textId="77777777" w:rsidR="00482004" w:rsidRPr="00741B94" w:rsidRDefault="00482004" w:rsidP="0013323B">
            <w:pPr>
              <w:jc w:val="center"/>
              <w:rPr>
                <w:b/>
                <w:sz w:val="24"/>
                <w:szCs w:val="24"/>
              </w:rPr>
            </w:pPr>
            <w:r w:rsidRPr="00741B94"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339E1623" w14:textId="77777777" w:rsidR="00482004" w:rsidRPr="00741B94" w:rsidRDefault="00482004" w:rsidP="0013323B">
            <w:pPr>
              <w:tabs>
                <w:tab w:val="left" w:pos="2002"/>
              </w:tabs>
              <w:rPr>
                <w:b/>
                <w:sz w:val="24"/>
                <w:szCs w:val="24"/>
              </w:rPr>
            </w:pPr>
          </w:p>
          <w:p w14:paraId="52C413C8" w14:textId="77777777" w:rsidR="00482004" w:rsidRPr="00741B94" w:rsidRDefault="00482004" w:rsidP="0013323B">
            <w:pPr>
              <w:tabs>
                <w:tab w:val="left" w:pos="2002"/>
              </w:tabs>
              <w:jc w:val="center"/>
              <w:rPr>
                <w:b/>
                <w:sz w:val="24"/>
                <w:szCs w:val="24"/>
              </w:rPr>
            </w:pPr>
            <w:r w:rsidRPr="00741B94">
              <w:rPr>
                <w:b/>
                <w:sz w:val="24"/>
                <w:szCs w:val="24"/>
              </w:rPr>
              <w:t>Oui</w:t>
            </w:r>
          </w:p>
        </w:tc>
      </w:tr>
    </w:tbl>
    <w:p w14:paraId="4035CA69" w14:textId="77777777" w:rsidR="00482004" w:rsidRDefault="00482004"/>
    <w:sectPr w:rsidR="00482004" w:rsidSect="0013323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AA22F" w14:textId="77777777" w:rsidR="00D676BB" w:rsidRDefault="00D676BB" w:rsidP="0013323B">
      <w:pPr>
        <w:spacing w:after="0" w:line="240" w:lineRule="auto"/>
      </w:pPr>
      <w:r>
        <w:separator/>
      </w:r>
    </w:p>
  </w:endnote>
  <w:endnote w:type="continuationSeparator" w:id="0">
    <w:p w14:paraId="07B8ECD2" w14:textId="77777777" w:rsidR="00D676BB" w:rsidRDefault="00D676BB" w:rsidP="0013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3A80" w14:textId="77777777" w:rsidR="00F97FD8" w:rsidRPr="0013323B" w:rsidRDefault="00F97FD8">
    <w:pPr>
      <w:pStyle w:val="Pieddepage"/>
      <w:rPr>
        <w:sz w:val="16"/>
        <w:szCs w:val="16"/>
      </w:rPr>
    </w:pPr>
    <w:r w:rsidRPr="0013323B">
      <w:rPr>
        <w:sz w:val="16"/>
        <w:szCs w:val="16"/>
      </w:rPr>
      <w:fldChar w:fldCharType="begin"/>
    </w:r>
    <w:r w:rsidRPr="0013323B">
      <w:rPr>
        <w:sz w:val="16"/>
        <w:szCs w:val="16"/>
      </w:rPr>
      <w:instrText xml:space="preserve"> TIME \@ "yyyy-MM-dd" </w:instrText>
    </w:r>
    <w:r w:rsidRPr="0013323B">
      <w:rPr>
        <w:sz w:val="16"/>
        <w:szCs w:val="16"/>
      </w:rPr>
      <w:fldChar w:fldCharType="separate"/>
    </w:r>
    <w:r w:rsidR="00191B90">
      <w:rPr>
        <w:noProof/>
        <w:sz w:val="16"/>
        <w:szCs w:val="16"/>
      </w:rPr>
      <w:t>2019-09-08</w:t>
    </w:r>
    <w:r w:rsidRPr="001332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B47F" w14:textId="77777777" w:rsidR="00D676BB" w:rsidRDefault="00D676BB" w:rsidP="0013323B">
      <w:pPr>
        <w:spacing w:after="0" w:line="240" w:lineRule="auto"/>
      </w:pPr>
      <w:r>
        <w:separator/>
      </w:r>
    </w:p>
  </w:footnote>
  <w:footnote w:type="continuationSeparator" w:id="0">
    <w:p w14:paraId="66EFDE25" w14:textId="77777777" w:rsidR="00D676BB" w:rsidRDefault="00D676BB" w:rsidP="0013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DCC"/>
    <w:multiLevelType w:val="hybridMultilevel"/>
    <w:tmpl w:val="5F56E3CC"/>
    <w:lvl w:ilvl="0" w:tplc="0C0C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979"/>
    <w:multiLevelType w:val="hybridMultilevel"/>
    <w:tmpl w:val="57A0F15C"/>
    <w:lvl w:ilvl="0" w:tplc="98AEE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  <w:bCs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D04B7C"/>
    <w:multiLevelType w:val="hybridMultilevel"/>
    <w:tmpl w:val="EE44583A"/>
    <w:lvl w:ilvl="0" w:tplc="0C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61C9363D"/>
    <w:multiLevelType w:val="hybridMultilevel"/>
    <w:tmpl w:val="E390A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F6238"/>
    <w:multiLevelType w:val="hybridMultilevel"/>
    <w:tmpl w:val="551EC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0"/>
    <w:rsid w:val="000635CF"/>
    <w:rsid w:val="00064B9B"/>
    <w:rsid w:val="00073165"/>
    <w:rsid w:val="000A2926"/>
    <w:rsid w:val="000B7843"/>
    <w:rsid w:val="00102FDE"/>
    <w:rsid w:val="0013323B"/>
    <w:rsid w:val="001555B9"/>
    <w:rsid w:val="0016166A"/>
    <w:rsid w:val="00191B90"/>
    <w:rsid w:val="001E2390"/>
    <w:rsid w:val="00245325"/>
    <w:rsid w:val="0024701E"/>
    <w:rsid w:val="002475AB"/>
    <w:rsid w:val="00274982"/>
    <w:rsid w:val="003828C3"/>
    <w:rsid w:val="003A677D"/>
    <w:rsid w:val="003E3811"/>
    <w:rsid w:val="0042261D"/>
    <w:rsid w:val="004438D2"/>
    <w:rsid w:val="00451393"/>
    <w:rsid w:val="00452040"/>
    <w:rsid w:val="00460173"/>
    <w:rsid w:val="00460300"/>
    <w:rsid w:val="00470804"/>
    <w:rsid w:val="00482004"/>
    <w:rsid w:val="004C370B"/>
    <w:rsid w:val="004F7916"/>
    <w:rsid w:val="00533229"/>
    <w:rsid w:val="0057649B"/>
    <w:rsid w:val="005770A2"/>
    <w:rsid w:val="0058322F"/>
    <w:rsid w:val="005F0F61"/>
    <w:rsid w:val="00611244"/>
    <w:rsid w:val="00642DC2"/>
    <w:rsid w:val="006C2B8C"/>
    <w:rsid w:val="006D2055"/>
    <w:rsid w:val="00700D2F"/>
    <w:rsid w:val="00723180"/>
    <w:rsid w:val="007337D6"/>
    <w:rsid w:val="00761D59"/>
    <w:rsid w:val="007658A7"/>
    <w:rsid w:val="00775FEF"/>
    <w:rsid w:val="0082318E"/>
    <w:rsid w:val="008542EB"/>
    <w:rsid w:val="00866535"/>
    <w:rsid w:val="00886CC7"/>
    <w:rsid w:val="008923DD"/>
    <w:rsid w:val="008A58A9"/>
    <w:rsid w:val="008B06E4"/>
    <w:rsid w:val="008B09B4"/>
    <w:rsid w:val="0091569D"/>
    <w:rsid w:val="0091589F"/>
    <w:rsid w:val="00924E9B"/>
    <w:rsid w:val="00935788"/>
    <w:rsid w:val="009476BF"/>
    <w:rsid w:val="00963E2B"/>
    <w:rsid w:val="0099206B"/>
    <w:rsid w:val="00997468"/>
    <w:rsid w:val="009A7297"/>
    <w:rsid w:val="009C5CA0"/>
    <w:rsid w:val="009F2FD0"/>
    <w:rsid w:val="00A1783D"/>
    <w:rsid w:val="00AA14E8"/>
    <w:rsid w:val="00AC0AFF"/>
    <w:rsid w:val="00B10BF0"/>
    <w:rsid w:val="00B252DF"/>
    <w:rsid w:val="00B8386D"/>
    <w:rsid w:val="00BB2600"/>
    <w:rsid w:val="00BB7E92"/>
    <w:rsid w:val="00C55596"/>
    <w:rsid w:val="00C718BB"/>
    <w:rsid w:val="00CD3749"/>
    <w:rsid w:val="00CD474D"/>
    <w:rsid w:val="00D246DD"/>
    <w:rsid w:val="00D676BB"/>
    <w:rsid w:val="00DB2D76"/>
    <w:rsid w:val="00E955CA"/>
    <w:rsid w:val="00EB3F94"/>
    <w:rsid w:val="00EC4A95"/>
    <w:rsid w:val="00F05F13"/>
    <w:rsid w:val="00F30BE8"/>
    <w:rsid w:val="00F377FB"/>
    <w:rsid w:val="00F60753"/>
    <w:rsid w:val="00F673EB"/>
    <w:rsid w:val="00F90F65"/>
    <w:rsid w:val="00F93305"/>
    <w:rsid w:val="00F9598C"/>
    <w:rsid w:val="00F97FD8"/>
    <w:rsid w:val="00FA3CC2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CD2F"/>
  <w15:docId w15:val="{E3CA5B11-71F6-499A-B349-2C73A6EC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00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7649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133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23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133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2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DBF0-3457-4BD1-9DBB-AA6D10D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duqujo1</dc:creator>
  <cp:lastModifiedBy>René Bernier</cp:lastModifiedBy>
  <cp:revision>2</cp:revision>
  <cp:lastPrinted>2011-08-24T21:57:00Z</cp:lastPrinted>
  <dcterms:created xsi:type="dcterms:W3CDTF">2019-09-08T18:21:00Z</dcterms:created>
  <dcterms:modified xsi:type="dcterms:W3CDTF">2019-09-08T18:21:00Z</dcterms:modified>
</cp:coreProperties>
</file>